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pacing w:before="159" w:beforeLines="50" w:beforeAutospacing="0" w:after="0" w:afterAutospacing="0" w:line="240" w:lineRule="auto"/>
        <w:ind w:firstLine="0"/>
        <w:rPr>
          <w:rFonts w:ascii="Times New Roman" w:hAnsi="Times New Roman" w:cs="Times New Roman"/>
          <w:b/>
          <w:snapToGrid w:val="0"/>
          <w:sz w:val="44"/>
          <w:szCs w:val="44"/>
        </w:rPr>
      </w:pPr>
      <w:r>
        <w:rPr>
          <w:rFonts w:ascii="Times New Roman" w:hAnsi="Times New Roman" w:cs="Times New Roman"/>
          <w:b/>
          <w:sz w:val="44"/>
          <w:szCs w:val="44"/>
        </w:rPr>
        <w:drawing>
          <wp:anchor distT="0" distB="0" distL="114300" distR="114300" simplePos="0" relativeHeight="251660288" behindDoc="0" locked="0" layoutInCell="1" allowOverlap="1">
            <wp:simplePos x="0" y="0"/>
            <wp:positionH relativeFrom="column">
              <wp:posOffset>3059430</wp:posOffset>
            </wp:positionH>
            <wp:positionV relativeFrom="paragraph">
              <wp:posOffset>165100</wp:posOffset>
            </wp:positionV>
            <wp:extent cx="2698115" cy="610870"/>
            <wp:effectExtent l="0" t="0" r="0" b="0"/>
            <wp:wrapSquare wrapText="bothSides"/>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98115" cy="610870"/>
                    </a:xfrm>
                    <a:prstGeom prst="rect">
                      <a:avLst/>
                    </a:prstGeom>
                    <a:noFill/>
                    <a:ln>
                      <a:noFill/>
                    </a:ln>
                  </pic:spPr>
                </pic:pic>
              </a:graphicData>
            </a:graphic>
          </wp:anchor>
        </w:drawing>
      </w:r>
      <w:r>
        <w:rPr>
          <w:rFonts w:ascii="Times New Roman" w:hAnsi="Times New Roman" w:cs="Times New Roman"/>
        </w:rPr>
        <mc:AlternateContent>
          <mc:Choice Requires="wps">
            <w:drawing>
              <wp:anchor distT="45720" distB="45720" distL="114300" distR="114300" simplePos="0" relativeHeight="251659264" behindDoc="0" locked="0" layoutInCell="1" allowOverlap="1">
                <wp:simplePos x="0" y="0"/>
                <wp:positionH relativeFrom="column">
                  <wp:posOffset>789305</wp:posOffset>
                </wp:positionH>
                <wp:positionV relativeFrom="paragraph">
                  <wp:posOffset>4445</wp:posOffset>
                </wp:positionV>
                <wp:extent cx="2120265" cy="817245"/>
                <wp:effectExtent l="6350" t="11430" r="6985" b="9525"/>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20265" cy="817245"/>
                        </a:xfrm>
                        <a:prstGeom prst="rect">
                          <a:avLst/>
                        </a:prstGeom>
                        <a:solidFill>
                          <a:srgbClr val="FFFFFF"/>
                        </a:solidFill>
                        <a:ln w="9525">
                          <a:solidFill>
                            <a:srgbClr val="FFFFFF"/>
                          </a:solidFill>
                          <a:miter lim="800000"/>
                        </a:ln>
                      </wps:spPr>
                      <wps:txbx>
                        <w:txbxContent>
                          <w:p>
                            <w:pPr>
                              <w:jc w:val="distribute"/>
                              <w:rPr>
                                <w:rFonts w:ascii="幼圆" w:eastAsia="幼圆"/>
                                <w:b/>
                                <w:snapToGrid w:val="0"/>
                                <w:sz w:val="32"/>
                                <w:szCs w:val="32"/>
                              </w:rPr>
                            </w:pPr>
                            <w:r>
                              <w:rPr>
                                <w:rFonts w:hint="eastAsia" w:ascii="幼圆" w:eastAsia="幼圆"/>
                                <w:b/>
                                <w:snapToGrid w:val="0"/>
                                <w:sz w:val="32"/>
                                <w:szCs w:val="32"/>
                              </w:rPr>
                              <w:t>江苏省高等职业教育</w:t>
                            </w:r>
                          </w:p>
                          <w:p>
                            <w:pPr>
                              <w:jc w:val="distribute"/>
                              <w:rPr>
                                <w:rFonts w:ascii="幼圆" w:eastAsia="幼圆"/>
                                <w:sz w:val="32"/>
                                <w:szCs w:val="32"/>
                              </w:rPr>
                            </w:pPr>
                            <w:r>
                              <w:rPr>
                                <w:rFonts w:hint="eastAsia" w:ascii="幼圆" w:eastAsia="幼圆"/>
                                <w:b/>
                                <w:snapToGrid w:val="0"/>
                                <w:sz w:val="32"/>
                                <w:szCs w:val="32"/>
                              </w:rPr>
                              <w:t>教师培训中心</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62.15pt;margin-top:0.35pt;height:64.35pt;width:166.95pt;z-index:251659264;mso-width-relative:page;mso-height-relative:page;" fillcolor="#FFFFFF" filled="t" stroked="t" coordsize="21600,21600" o:gfxdata="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s2pkTWAAAACAEAAA8AAAAAAAAAAQAgAAAAIgAAAGRycy9k&#10;b3ducmV2LnhtbFBLAQIUABQAAAAIAIdO4kAUcwv6PQIAAIgEAAAOAAAAAAAAAAEAIAAAACUBAABk&#10;cnMvZTJvRG9jLnhtbFBLBQYAAAAABgAGAFkBAADUBQAAAAA=&#10;">
                <v:fill on="t" focussize="0,0"/>
                <v:stroke color="#FFFFFF" miterlimit="8" joinstyle="miter"/>
                <v:imagedata o:title=""/>
                <o:lock v:ext="edit" aspectratio="f"/>
                <v:textbox>
                  <w:txbxContent>
                    <w:p>
                      <w:pPr>
                        <w:jc w:val="distribute"/>
                        <w:rPr>
                          <w:rFonts w:ascii="幼圆" w:eastAsia="幼圆"/>
                          <w:b/>
                          <w:snapToGrid w:val="0"/>
                          <w:sz w:val="32"/>
                          <w:szCs w:val="32"/>
                        </w:rPr>
                      </w:pPr>
                      <w:r>
                        <w:rPr>
                          <w:rFonts w:hint="eastAsia" w:ascii="幼圆" w:eastAsia="幼圆"/>
                          <w:b/>
                          <w:snapToGrid w:val="0"/>
                          <w:sz w:val="32"/>
                          <w:szCs w:val="32"/>
                        </w:rPr>
                        <w:t>江苏省高等职业教育</w:t>
                      </w:r>
                    </w:p>
                    <w:p>
                      <w:pPr>
                        <w:jc w:val="distribute"/>
                        <w:rPr>
                          <w:rFonts w:ascii="幼圆" w:eastAsia="幼圆"/>
                          <w:sz w:val="32"/>
                          <w:szCs w:val="32"/>
                        </w:rPr>
                      </w:pPr>
                      <w:r>
                        <w:rPr>
                          <w:rFonts w:hint="eastAsia" w:ascii="幼圆" w:eastAsia="幼圆"/>
                          <w:b/>
                          <w:snapToGrid w:val="0"/>
                          <w:sz w:val="32"/>
                          <w:szCs w:val="32"/>
                        </w:rPr>
                        <w:t>教师培训中心</w:t>
                      </w:r>
                    </w:p>
                  </w:txbxContent>
                </v:textbox>
              </v:shape>
            </w:pict>
          </mc:Fallback>
        </mc:AlternateContent>
      </w:r>
      <w:r>
        <w:rPr>
          <w:kern w:val="0"/>
        </w:rPr>
        <w:drawing>
          <wp:inline distT="0" distB="0" distL="0" distR="0">
            <wp:extent cx="762000" cy="676275"/>
            <wp:effectExtent l="0" t="0" r="0" b="0"/>
            <wp:docPr id="1" name="图片 1" descr="L)UH%UICKU6(PAU_17A[G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UH%UICKU6(PAU_17A[GX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62000" cy="676275"/>
                    </a:xfrm>
                    <a:prstGeom prst="rect">
                      <a:avLst/>
                    </a:prstGeom>
                    <a:noFill/>
                    <a:ln>
                      <a:noFill/>
                    </a:ln>
                  </pic:spPr>
                </pic:pic>
              </a:graphicData>
            </a:graphic>
          </wp:inline>
        </w:drawing>
      </w:r>
    </w:p>
    <w:p>
      <w:pPr>
        <w:adjustRightInd w:val="0"/>
        <w:snapToGrid w:val="0"/>
        <w:spacing w:line="560" w:lineRule="exact"/>
        <w:rPr>
          <w:rFonts w:eastAsia="仿宋"/>
          <w:b/>
          <w:bCs/>
          <w:snapToGrid w:val="0"/>
          <w:sz w:val="30"/>
          <w:szCs w:val="30"/>
        </w:rPr>
      </w:pPr>
    </w:p>
    <w:p>
      <w:pPr>
        <w:pStyle w:val="10"/>
        <w:jc w:val="center"/>
        <w:rPr>
          <w:rFonts w:ascii="Times New Roman" w:hAnsi="Times New Roman" w:eastAsia="微软雅黑"/>
          <w:b/>
          <w:snapToGrid w:val="0"/>
          <w:color w:val="auto"/>
          <w:spacing w:val="0"/>
          <w:kern w:val="2"/>
          <w:sz w:val="36"/>
          <w:szCs w:val="36"/>
        </w:rPr>
      </w:pPr>
      <w:bookmarkStart w:id="0" w:name="_Toc26964642"/>
      <w:r>
        <w:rPr>
          <w:rFonts w:hint="eastAsia" w:ascii="Times New Roman" w:hAnsi="Times New Roman" w:eastAsia="微软雅黑"/>
          <w:b/>
          <w:snapToGrid w:val="0"/>
          <w:color w:val="auto"/>
          <w:spacing w:val="0"/>
          <w:kern w:val="2"/>
          <w:sz w:val="36"/>
          <w:szCs w:val="36"/>
        </w:rPr>
        <w:t>2</w:t>
      </w:r>
      <w:r>
        <w:rPr>
          <w:rFonts w:ascii="Times New Roman" w:hAnsi="Times New Roman" w:eastAsia="微软雅黑"/>
          <w:b/>
          <w:snapToGrid w:val="0"/>
          <w:color w:val="auto"/>
          <w:spacing w:val="0"/>
          <w:kern w:val="2"/>
          <w:sz w:val="36"/>
          <w:szCs w:val="36"/>
        </w:rPr>
        <w:t>022</w:t>
      </w:r>
      <w:r>
        <w:rPr>
          <w:rFonts w:hint="eastAsia" w:ascii="Times New Roman" w:hAnsi="Times New Roman" w:eastAsia="微软雅黑"/>
          <w:b/>
          <w:snapToGrid w:val="0"/>
          <w:color w:val="auto"/>
          <w:spacing w:val="0"/>
          <w:kern w:val="2"/>
          <w:sz w:val="36"/>
          <w:szCs w:val="36"/>
        </w:rPr>
        <w:t>年度</w:t>
      </w:r>
      <w:r>
        <w:rPr>
          <w:rFonts w:ascii="Times New Roman" w:hAnsi="Times New Roman" w:eastAsia="微软雅黑"/>
          <w:b/>
          <w:snapToGrid w:val="0"/>
          <w:color w:val="auto"/>
          <w:spacing w:val="0"/>
          <w:kern w:val="2"/>
          <w:sz w:val="36"/>
          <w:szCs w:val="36"/>
        </w:rPr>
        <w:t>江苏省高等职业院校</w:t>
      </w:r>
      <w:bookmarkEnd w:id="0"/>
      <w:r>
        <w:rPr>
          <w:rFonts w:ascii="Times New Roman" w:hAnsi="Times New Roman" w:eastAsia="微软雅黑"/>
          <w:b/>
          <w:snapToGrid w:val="0"/>
          <w:color w:val="auto"/>
          <w:spacing w:val="0"/>
          <w:kern w:val="2"/>
          <w:sz w:val="36"/>
          <w:szCs w:val="36"/>
        </w:rPr>
        <w:t>教师国家级培训</w:t>
      </w:r>
    </w:p>
    <w:p>
      <w:pPr>
        <w:pStyle w:val="12"/>
        <w:adjustRightInd w:val="0"/>
        <w:snapToGrid w:val="0"/>
        <w:spacing w:before="159" w:beforeLines="50" w:beforeAutospacing="0" w:after="0" w:afterAutospacing="0" w:line="240" w:lineRule="atLeast"/>
        <w:ind w:firstLine="0"/>
        <w:jc w:val="center"/>
        <w:rPr>
          <w:rFonts w:ascii="Times New Roman" w:hAnsi="Times New Roman" w:eastAsia="微软雅黑" w:cs="Times New Roman"/>
          <w:b/>
          <w:snapToGrid w:val="0"/>
          <w:sz w:val="36"/>
          <w:szCs w:val="36"/>
        </w:rPr>
      </w:pPr>
      <w:r>
        <w:rPr>
          <w:rFonts w:hint="eastAsia" w:ascii="Times New Roman" w:hAnsi="Times New Roman" w:eastAsia="微软雅黑" w:cs="Times New Roman"/>
          <w:b/>
          <w:snapToGrid w:val="0"/>
          <w:sz w:val="36"/>
          <w:szCs w:val="36"/>
        </w:rPr>
        <w:t>理工类专业课信息化教学能力提升</w:t>
      </w:r>
    </w:p>
    <w:p>
      <w:pPr>
        <w:pStyle w:val="12"/>
        <w:adjustRightInd w:val="0"/>
        <w:snapToGrid w:val="0"/>
        <w:spacing w:before="159" w:beforeLines="50" w:beforeAutospacing="0" w:after="0" w:afterAutospacing="0" w:line="240" w:lineRule="atLeast"/>
        <w:ind w:firstLine="0"/>
        <w:jc w:val="center"/>
        <w:rPr>
          <w:rFonts w:ascii="Times New Roman" w:hAnsi="Times New Roman" w:eastAsia="微软雅黑" w:cs="Times New Roman"/>
          <w:b/>
          <w:snapToGrid w:val="0"/>
          <w:sz w:val="44"/>
          <w:szCs w:val="36"/>
        </w:rPr>
      </w:pPr>
      <w:r>
        <w:rPr>
          <w:rFonts w:hint="eastAsia"/>
          <w:b/>
          <w:sz w:val="32"/>
        </w:rPr>
        <w:t>（202</w:t>
      </w:r>
      <w:r>
        <w:rPr>
          <w:b/>
          <w:sz w:val="32"/>
        </w:rPr>
        <w:t>2GZGP08</w:t>
      </w:r>
      <w:r>
        <w:rPr>
          <w:rFonts w:hint="eastAsia"/>
          <w:b/>
          <w:sz w:val="32"/>
        </w:rPr>
        <w:t>）</w:t>
      </w:r>
    </w:p>
    <w:p>
      <w:pPr>
        <w:adjustRightInd w:val="0"/>
        <w:snapToGrid w:val="0"/>
        <w:spacing w:line="560" w:lineRule="exact"/>
        <w:jc w:val="center"/>
        <w:rPr>
          <w:rFonts w:eastAsia="华文中宋"/>
          <w:b/>
          <w:bCs/>
          <w:snapToGrid w:val="0"/>
          <w:sz w:val="48"/>
          <w:szCs w:val="48"/>
        </w:rPr>
      </w:pPr>
    </w:p>
    <w:p>
      <w:pPr>
        <w:adjustRightInd w:val="0"/>
        <w:snapToGrid w:val="0"/>
        <w:jc w:val="center"/>
        <w:rPr>
          <w:rFonts w:eastAsia="华文中宋"/>
          <w:b/>
          <w:bCs/>
          <w:snapToGrid w:val="0"/>
          <w:sz w:val="96"/>
          <w:szCs w:val="96"/>
        </w:rPr>
      </w:pPr>
      <w:r>
        <w:rPr>
          <w:rFonts w:eastAsia="华文中宋"/>
          <w:b/>
          <w:bCs/>
          <w:snapToGrid w:val="0"/>
          <w:sz w:val="96"/>
          <w:szCs w:val="96"/>
        </w:rPr>
        <w:t>实</w:t>
      </w:r>
    </w:p>
    <w:p>
      <w:pPr>
        <w:adjustRightInd w:val="0"/>
        <w:snapToGrid w:val="0"/>
        <w:jc w:val="center"/>
        <w:rPr>
          <w:rFonts w:eastAsia="华文中宋"/>
          <w:b/>
          <w:bCs/>
          <w:snapToGrid w:val="0"/>
          <w:sz w:val="96"/>
          <w:szCs w:val="96"/>
        </w:rPr>
      </w:pPr>
      <w:r>
        <w:rPr>
          <w:rFonts w:eastAsia="华文中宋"/>
          <w:b/>
          <w:bCs/>
          <w:snapToGrid w:val="0"/>
          <w:sz w:val="96"/>
          <w:szCs w:val="96"/>
        </w:rPr>
        <w:t>施</w:t>
      </w:r>
    </w:p>
    <w:p>
      <w:pPr>
        <w:adjustRightInd w:val="0"/>
        <w:snapToGrid w:val="0"/>
        <w:jc w:val="center"/>
        <w:rPr>
          <w:rFonts w:eastAsia="华文中宋"/>
          <w:b/>
          <w:bCs/>
          <w:snapToGrid w:val="0"/>
          <w:sz w:val="96"/>
          <w:szCs w:val="96"/>
        </w:rPr>
      </w:pPr>
      <w:r>
        <w:rPr>
          <w:rFonts w:eastAsia="华文中宋"/>
          <w:b/>
          <w:bCs/>
          <w:snapToGrid w:val="0"/>
          <w:sz w:val="96"/>
          <w:szCs w:val="96"/>
        </w:rPr>
        <w:t>方</w:t>
      </w:r>
    </w:p>
    <w:p>
      <w:pPr>
        <w:adjustRightInd w:val="0"/>
        <w:snapToGrid w:val="0"/>
        <w:jc w:val="center"/>
        <w:rPr>
          <w:rFonts w:eastAsia="华文中宋"/>
          <w:b/>
          <w:bCs/>
          <w:snapToGrid w:val="0"/>
          <w:sz w:val="96"/>
          <w:szCs w:val="96"/>
        </w:rPr>
      </w:pPr>
      <w:r>
        <w:rPr>
          <w:rFonts w:eastAsia="华文中宋"/>
          <w:b/>
          <w:bCs/>
          <w:snapToGrid w:val="0"/>
          <w:sz w:val="96"/>
          <w:szCs w:val="96"/>
        </w:rPr>
        <w:t>案</w:t>
      </w:r>
    </w:p>
    <w:p>
      <w:pPr>
        <w:adjustRightInd w:val="0"/>
        <w:snapToGrid w:val="0"/>
        <w:spacing w:line="560" w:lineRule="exact"/>
        <w:jc w:val="center"/>
        <w:rPr>
          <w:rFonts w:eastAsia="仿宋"/>
          <w:snapToGrid w:val="0"/>
          <w:sz w:val="40"/>
          <w:szCs w:val="40"/>
        </w:rPr>
      </w:pPr>
    </w:p>
    <w:p>
      <w:pPr>
        <w:adjustRightInd w:val="0"/>
        <w:snapToGrid w:val="0"/>
        <w:spacing w:line="560" w:lineRule="exact"/>
        <w:jc w:val="center"/>
        <w:rPr>
          <w:rFonts w:eastAsia="仿宋"/>
          <w:snapToGrid w:val="0"/>
          <w:sz w:val="40"/>
          <w:szCs w:val="40"/>
        </w:rPr>
      </w:pPr>
      <w:r>
        <w:rPr>
          <w:rFonts w:eastAsia="仿宋"/>
          <w:snapToGrid w:val="0"/>
          <w:sz w:val="40"/>
          <w:szCs w:val="40"/>
        </w:rPr>
        <w:t>无锡职业技术学院</w:t>
      </w:r>
    </w:p>
    <w:p>
      <w:pPr>
        <w:adjustRightInd w:val="0"/>
        <w:snapToGrid w:val="0"/>
        <w:spacing w:line="560" w:lineRule="exact"/>
        <w:rPr>
          <w:rFonts w:eastAsia="仿宋"/>
          <w:snapToGrid w:val="0"/>
          <w:sz w:val="40"/>
          <w:szCs w:val="40"/>
        </w:rPr>
      </w:pPr>
    </w:p>
    <w:p>
      <w:pPr>
        <w:adjustRightInd w:val="0"/>
        <w:snapToGrid w:val="0"/>
        <w:spacing w:line="560" w:lineRule="exact"/>
        <w:jc w:val="center"/>
        <w:rPr>
          <w:rFonts w:eastAsia="仿宋"/>
          <w:snapToGrid w:val="0"/>
          <w:sz w:val="36"/>
          <w:szCs w:val="36"/>
        </w:rPr>
        <w:sectPr>
          <w:headerReference r:id="rId3" w:type="default"/>
          <w:headerReference r:id="rId4" w:type="even"/>
          <w:pgSz w:w="11906" w:h="16838"/>
          <w:pgMar w:top="1871" w:right="1797" w:bottom="964" w:left="1797" w:header="851" w:footer="992" w:gutter="0"/>
          <w:cols w:space="720" w:num="1"/>
          <w:docGrid w:type="lines" w:linePitch="319" w:charSpace="0"/>
        </w:sectPr>
      </w:pPr>
      <w:r>
        <w:rPr>
          <w:rFonts w:eastAsia="仿宋"/>
          <w:snapToGrid w:val="0"/>
          <w:sz w:val="36"/>
          <w:szCs w:val="36"/>
        </w:rPr>
        <w:t>20</w:t>
      </w:r>
      <w:r>
        <w:rPr>
          <w:rFonts w:hint="eastAsia" w:eastAsia="仿宋"/>
          <w:snapToGrid w:val="0"/>
          <w:sz w:val="36"/>
          <w:szCs w:val="36"/>
        </w:rPr>
        <w:t>2</w:t>
      </w:r>
      <w:r>
        <w:rPr>
          <w:rFonts w:eastAsia="仿宋"/>
          <w:snapToGrid w:val="0"/>
          <w:sz w:val="36"/>
          <w:szCs w:val="36"/>
        </w:rPr>
        <w:t xml:space="preserve">2  年  </w:t>
      </w:r>
      <w:r>
        <w:rPr>
          <w:rFonts w:hint="eastAsia" w:eastAsia="仿宋"/>
          <w:snapToGrid w:val="0"/>
          <w:sz w:val="36"/>
          <w:szCs w:val="36"/>
        </w:rPr>
        <w:t>7</w:t>
      </w:r>
      <w:r>
        <w:rPr>
          <w:rFonts w:eastAsia="仿宋"/>
          <w:snapToGrid w:val="0"/>
          <w:sz w:val="36"/>
          <w:szCs w:val="36"/>
        </w:rPr>
        <w:t xml:space="preserve">月   </w:t>
      </w:r>
    </w:p>
    <w:p>
      <w:pPr>
        <w:pStyle w:val="12"/>
        <w:adjustRightInd w:val="0"/>
        <w:snapToGrid w:val="0"/>
        <w:spacing w:before="159" w:beforeLines="50" w:beforeAutospacing="0" w:after="0" w:afterAutospacing="0" w:line="240" w:lineRule="atLeast"/>
        <w:ind w:firstLine="360" w:firstLineChars="100"/>
        <w:rPr>
          <w:rFonts w:eastAsia="华文中宋"/>
          <w:snapToGrid w:val="0"/>
          <w:sz w:val="36"/>
          <w:szCs w:val="36"/>
        </w:rPr>
      </w:pPr>
      <w:r>
        <w:rPr>
          <w:rFonts w:hint="eastAsia" w:eastAsia="华文中宋"/>
          <w:snapToGrid w:val="0"/>
          <w:sz w:val="36"/>
          <w:szCs w:val="36"/>
        </w:rPr>
        <w:t>“理工类专业课信息化教学能力提升</w:t>
      </w:r>
      <w:r>
        <w:rPr>
          <w:rFonts w:eastAsia="华文中宋"/>
          <w:snapToGrid w:val="0"/>
          <w:sz w:val="36"/>
          <w:szCs w:val="36"/>
        </w:rPr>
        <w:t xml:space="preserve"> </w:t>
      </w:r>
      <w:r>
        <w:rPr>
          <w:rFonts w:hint="eastAsia" w:eastAsia="华文中宋"/>
          <w:snapToGrid w:val="0"/>
          <w:sz w:val="36"/>
          <w:szCs w:val="36"/>
        </w:rPr>
        <w:t>”</w:t>
      </w:r>
      <w:r>
        <w:rPr>
          <w:rFonts w:eastAsia="华文中宋"/>
          <w:snapToGrid w:val="0"/>
          <w:sz w:val="36"/>
          <w:szCs w:val="36"/>
        </w:rPr>
        <w:t>实施方案</w:t>
      </w:r>
    </w:p>
    <w:p>
      <w:pPr>
        <w:adjustRightInd w:val="0"/>
        <w:snapToGrid w:val="0"/>
        <w:spacing w:before="159" w:beforeLines="50" w:after="159" w:afterLines="50" w:line="460" w:lineRule="exact"/>
        <w:jc w:val="center"/>
        <w:rPr>
          <w:rFonts w:eastAsia="黑体"/>
          <w:snapToGrid w:val="0"/>
          <w:sz w:val="36"/>
          <w:szCs w:val="36"/>
        </w:rPr>
      </w:pPr>
    </w:p>
    <w:p>
      <w:pPr>
        <w:numPr>
          <w:ilvl w:val="0"/>
          <w:numId w:val="1"/>
        </w:numPr>
        <w:adjustRightInd w:val="0"/>
        <w:snapToGrid w:val="0"/>
        <w:spacing w:before="159" w:beforeLines="50" w:after="159" w:afterLines="50" w:line="360" w:lineRule="auto"/>
        <w:rPr>
          <w:rFonts w:ascii="仿宋" w:hAnsi="仿宋" w:eastAsia="仿宋"/>
          <w:b/>
          <w:snapToGrid w:val="0"/>
          <w:sz w:val="28"/>
          <w:szCs w:val="28"/>
        </w:rPr>
      </w:pPr>
      <w:r>
        <w:rPr>
          <w:rFonts w:ascii="仿宋" w:hAnsi="仿宋" w:eastAsia="仿宋"/>
          <w:b/>
          <w:snapToGrid w:val="0"/>
          <w:sz w:val="28"/>
          <w:szCs w:val="28"/>
        </w:rPr>
        <w:t>培训项目总体方案设计</w:t>
      </w:r>
    </w:p>
    <w:p>
      <w:pPr>
        <w:spacing w:before="48" w:after="48" w:line="300" w:lineRule="auto"/>
        <w:ind w:firstLine="482" w:firstLineChars="200"/>
        <w:rPr>
          <w:rFonts w:ascii="仿宋" w:hAnsi="仿宋" w:eastAsia="仿宋"/>
          <w:b/>
          <w:bCs/>
          <w:snapToGrid w:val="0"/>
          <w:sz w:val="24"/>
        </w:rPr>
      </w:pPr>
      <w:r>
        <w:rPr>
          <w:rFonts w:ascii="仿宋" w:hAnsi="仿宋" w:eastAsia="仿宋"/>
          <w:b/>
          <w:bCs/>
          <w:snapToGrid w:val="0"/>
          <w:sz w:val="24"/>
        </w:rPr>
        <w:t>1.1培训宗旨</w:t>
      </w:r>
    </w:p>
    <w:p>
      <w:pPr>
        <w:spacing w:before="48" w:after="48" w:line="300" w:lineRule="auto"/>
        <w:ind w:firstLine="480" w:firstLineChars="200"/>
        <w:rPr>
          <w:rFonts w:ascii="仿宋" w:hAnsi="仿宋" w:eastAsia="仿宋"/>
          <w:sz w:val="24"/>
        </w:rPr>
      </w:pPr>
      <w:r>
        <w:rPr>
          <w:rFonts w:hint="eastAsia" w:ascii="仿宋" w:hAnsi="仿宋" w:eastAsia="仿宋"/>
          <w:sz w:val="24"/>
        </w:rPr>
        <w:t>针对</w:t>
      </w:r>
      <w:r>
        <w:rPr>
          <w:rFonts w:hint="eastAsia" w:ascii="仿宋" w:hAnsi="仿宋" w:eastAsia="仿宋"/>
          <w:b/>
          <w:bCs/>
          <w:sz w:val="24"/>
        </w:rPr>
        <w:t>理工类专业课信息化教学能力提升</w:t>
      </w:r>
      <w:r>
        <w:rPr>
          <w:rFonts w:hint="eastAsia" w:ascii="仿宋" w:hAnsi="仿宋" w:eastAsia="仿宋"/>
          <w:sz w:val="24"/>
        </w:rPr>
        <w:t>的培训需求，本项目围绕</w:t>
      </w:r>
      <w:r>
        <w:rPr>
          <w:rFonts w:hint="eastAsia" w:ascii="仿宋" w:hAnsi="仿宋" w:eastAsia="仿宋"/>
          <w:b/>
          <w:bCs/>
          <w:sz w:val="24"/>
        </w:rPr>
        <w:t>教师核心素养、信息化教学能力、信息技术应用能力</w:t>
      </w:r>
      <w:r>
        <w:rPr>
          <w:rFonts w:hint="eastAsia" w:ascii="仿宋" w:hAnsi="仿宋" w:eastAsia="仿宋"/>
          <w:sz w:val="24"/>
        </w:rPr>
        <w:t>三个重点内容，以学习成果为导向，围绕先进制造产业智能化升级带来的专业升级和信息化改造给对职业教育理工类教师综合素质和信息化教学能力提升的要求，分别设计规划一下培训主题内容，如下表所示。</w:t>
      </w:r>
    </w:p>
    <w:p>
      <w:pPr>
        <w:spacing w:before="48" w:after="48" w:line="300" w:lineRule="auto"/>
        <w:ind w:firstLine="420" w:firstLineChars="200"/>
        <w:rPr>
          <w:szCs w:val="21"/>
        </w:rPr>
      </w:pPr>
    </w:p>
    <w:tbl>
      <w:tblPr>
        <w:tblStyle w:val="13"/>
        <w:tblW w:w="5000" w:type="pct"/>
        <w:tblInd w:w="0" w:type="dxa"/>
        <w:tblLayout w:type="fixed"/>
        <w:tblCellMar>
          <w:top w:w="0" w:type="dxa"/>
          <w:left w:w="108" w:type="dxa"/>
          <w:bottom w:w="0" w:type="dxa"/>
          <w:right w:w="108" w:type="dxa"/>
        </w:tblCellMar>
      </w:tblPr>
      <w:tblGrid>
        <w:gridCol w:w="1562"/>
        <w:gridCol w:w="5638"/>
        <w:gridCol w:w="1328"/>
      </w:tblGrid>
      <w:tr>
        <w:tblPrEx>
          <w:tblCellMar>
            <w:top w:w="0" w:type="dxa"/>
            <w:left w:w="108" w:type="dxa"/>
            <w:bottom w:w="0" w:type="dxa"/>
            <w:right w:w="108" w:type="dxa"/>
          </w:tblCellMar>
        </w:tblPrEx>
        <w:tc>
          <w:tcPr>
            <w:tcW w:w="91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主题</w:t>
            </w:r>
          </w:p>
        </w:tc>
        <w:tc>
          <w:tcPr>
            <w:tcW w:w="3305"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课程内容</w:t>
            </w:r>
          </w:p>
        </w:tc>
        <w:tc>
          <w:tcPr>
            <w:tcW w:w="779"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学时</w:t>
            </w:r>
          </w:p>
        </w:tc>
      </w:tr>
      <w:tr>
        <w:tblPrEx>
          <w:tblCellMar>
            <w:top w:w="0" w:type="dxa"/>
            <w:left w:w="108" w:type="dxa"/>
            <w:bottom w:w="0" w:type="dxa"/>
            <w:right w:w="108" w:type="dxa"/>
          </w:tblCellMar>
        </w:tblPrEx>
        <w:tc>
          <w:tcPr>
            <w:tcW w:w="91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核心素养强化</w:t>
            </w:r>
          </w:p>
        </w:tc>
        <w:tc>
          <w:tcPr>
            <w:tcW w:w="3305" w:type="pct"/>
            <w:tcBorders>
              <w:top w:val="single" w:color="auto" w:sz="4" w:space="0"/>
              <w:left w:val="nil"/>
              <w:bottom w:val="single" w:color="auto" w:sz="4" w:space="0"/>
              <w:right w:val="single" w:color="auto" w:sz="4" w:space="0"/>
            </w:tcBorders>
            <w:vAlign w:val="center"/>
          </w:tcPr>
          <w:p>
            <w:pPr>
              <w:jc w:val="left"/>
              <w:rPr>
                <w:color w:val="000000"/>
                <w:sz w:val="18"/>
                <w:szCs w:val="18"/>
              </w:rPr>
            </w:pPr>
            <w:r>
              <w:rPr>
                <w:rFonts w:hint="eastAsia"/>
                <w:color w:val="000000"/>
                <w:sz w:val="18"/>
                <w:szCs w:val="18"/>
              </w:rPr>
              <w:t>（1）思想政治教育（2）师德师风建设（3）工匠精神培养（4）课程思政（5）1+X职业技能等级证书试点推广</w:t>
            </w:r>
          </w:p>
        </w:tc>
        <w:tc>
          <w:tcPr>
            <w:tcW w:w="779"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20</w:t>
            </w:r>
          </w:p>
        </w:tc>
      </w:tr>
      <w:tr>
        <w:tblPrEx>
          <w:tblCellMar>
            <w:top w:w="0" w:type="dxa"/>
            <w:left w:w="108" w:type="dxa"/>
            <w:bottom w:w="0" w:type="dxa"/>
            <w:right w:w="108" w:type="dxa"/>
          </w:tblCellMar>
        </w:tblPrEx>
        <w:tc>
          <w:tcPr>
            <w:tcW w:w="91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信息化教学能力完善</w:t>
            </w:r>
          </w:p>
        </w:tc>
        <w:tc>
          <w:tcPr>
            <w:tcW w:w="3305" w:type="pct"/>
            <w:tcBorders>
              <w:top w:val="single" w:color="auto" w:sz="4" w:space="0"/>
              <w:left w:val="nil"/>
              <w:bottom w:val="single" w:color="auto" w:sz="4" w:space="0"/>
              <w:right w:val="single" w:color="auto" w:sz="4" w:space="0"/>
            </w:tcBorders>
            <w:vAlign w:val="center"/>
          </w:tcPr>
          <w:p>
            <w:pPr>
              <w:jc w:val="left"/>
              <w:rPr>
                <w:color w:val="000000"/>
                <w:sz w:val="18"/>
                <w:szCs w:val="18"/>
              </w:rPr>
            </w:pPr>
            <w:r>
              <w:rPr>
                <w:rFonts w:hint="eastAsia"/>
                <w:color w:val="000000"/>
                <w:sz w:val="18"/>
                <w:szCs w:val="18"/>
              </w:rPr>
              <w:t>（1）智慧校园（2）人才培养（3）高质量课程、教学设计与实施（4）教学标准开发（5）全国教学能力比赛（</w:t>
            </w:r>
            <w:r>
              <w:rPr>
                <w:color w:val="000000"/>
                <w:sz w:val="18"/>
                <w:szCs w:val="18"/>
              </w:rPr>
              <w:t>6</w:t>
            </w:r>
            <w:r>
              <w:rPr>
                <w:rFonts w:hint="eastAsia"/>
                <w:color w:val="000000"/>
                <w:sz w:val="18"/>
                <w:szCs w:val="18"/>
              </w:rPr>
              <w:t>）新形态教材编写（</w:t>
            </w:r>
            <w:r>
              <w:rPr>
                <w:color w:val="000000"/>
                <w:sz w:val="18"/>
                <w:szCs w:val="18"/>
              </w:rPr>
              <w:t>7</w:t>
            </w:r>
            <w:r>
              <w:rPr>
                <w:rFonts w:hint="eastAsia"/>
                <w:color w:val="000000"/>
                <w:sz w:val="18"/>
                <w:szCs w:val="18"/>
              </w:rPr>
              <w:t>）模块化教学设计</w:t>
            </w:r>
          </w:p>
        </w:tc>
        <w:tc>
          <w:tcPr>
            <w:tcW w:w="779"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28</w:t>
            </w:r>
          </w:p>
        </w:tc>
      </w:tr>
      <w:tr>
        <w:tblPrEx>
          <w:tblCellMar>
            <w:top w:w="0" w:type="dxa"/>
            <w:left w:w="108" w:type="dxa"/>
            <w:bottom w:w="0" w:type="dxa"/>
            <w:right w:w="108" w:type="dxa"/>
          </w:tblCellMar>
        </w:tblPrEx>
        <w:tc>
          <w:tcPr>
            <w:tcW w:w="91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信息技术应用能力提升</w:t>
            </w:r>
          </w:p>
        </w:tc>
        <w:tc>
          <w:tcPr>
            <w:tcW w:w="3305" w:type="pct"/>
            <w:tcBorders>
              <w:top w:val="single" w:color="auto" w:sz="4" w:space="0"/>
              <w:left w:val="nil"/>
              <w:bottom w:val="single" w:color="auto" w:sz="4" w:space="0"/>
              <w:right w:val="single" w:color="auto" w:sz="4" w:space="0"/>
            </w:tcBorders>
            <w:vAlign w:val="center"/>
          </w:tcPr>
          <w:p>
            <w:pPr>
              <w:jc w:val="left"/>
              <w:rPr>
                <w:color w:val="000000"/>
                <w:sz w:val="18"/>
                <w:szCs w:val="18"/>
              </w:rPr>
            </w:pPr>
            <w:r>
              <w:rPr>
                <w:rFonts w:hint="eastAsia"/>
                <w:color w:val="000000"/>
                <w:sz w:val="18"/>
                <w:szCs w:val="18"/>
              </w:rPr>
              <w:t>（1）信息化课程开发（2）在线开放课程（3）微课资源建设（4）数字孪生与虚拟仿真（5）V</w:t>
            </w:r>
            <w:r>
              <w:rPr>
                <w:color w:val="000000"/>
                <w:sz w:val="18"/>
                <w:szCs w:val="18"/>
              </w:rPr>
              <w:t>R</w:t>
            </w:r>
            <w:r>
              <w:rPr>
                <w:rFonts w:hint="eastAsia"/>
                <w:color w:val="000000"/>
                <w:sz w:val="18"/>
                <w:szCs w:val="18"/>
              </w:rPr>
              <w:t>课件创作（6）企业、基地观摩（8）信息化教学实战</w:t>
            </w:r>
          </w:p>
        </w:tc>
        <w:tc>
          <w:tcPr>
            <w:tcW w:w="779"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32</w:t>
            </w:r>
          </w:p>
        </w:tc>
      </w:tr>
    </w:tbl>
    <w:p>
      <w:pPr>
        <w:spacing w:before="48" w:after="48" w:line="300" w:lineRule="auto"/>
        <w:ind w:left="420"/>
        <w:rPr>
          <w:rFonts w:ascii="黑体" w:hAnsi="黑体" w:eastAsia="黑体"/>
          <w:b/>
          <w:bCs/>
        </w:rPr>
      </w:pPr>
    </w:p>
    <w:p>
      <w:pPr>
        <w:spacing w:before="48" w:after="48" w:line="300" w:lineRule="auto"/>
        <w:ind w:left="420"/>
        <w:rPr>
          <w:rFonts w:ascii="仿宋" w:hAnsi="仿宋" w:eastAsia="仿宋"/>
          <w:b/>
          <w:bCs/>
          <w:sz w:val="24"/>
        </w:rPr>
      </w:pPr>
      <w:r>
        <w:rPr>
          <w:rFonts w:hint="eastAsia" w:ascii="仿宋" w:hAnsi="仿宋" w:eastAsia="仿宋"/>
          <w:b/>
          <w:bCs/>
          <w:sz w:val="24"/>
        </w:rPr>
        <w:t>1.</w:t>
      </w:r>
      <w:r>
        <w:rPr>
          <w:rFonts w:ascii="仿宋" w:hAnsi="仿宋" w:eastAsia="仿宋"/>
          <w:b/>
          <w:bCs/>
          <w:sz w:val="24"/>
        </w:rPr>
        <w:t xml:space="preserve"> </w:t>
      </w:r>
      <w:r>
        <w:rPr>
          <w:rFonts w:hint="eastAsia" w:ascii="仿宋" w:hAnsi="仿宋" w:eastAsia="仿宋"/>
          <w:b/>
          <w:bCs/>
          <w:sz w:val="24"/>
        </w:rPr>
        <w:t>强化核心素养</w:t>
      </w:r>
    </w:p>
    <w:p>
      <w:pPr>
        <w:spacing w:line="300" w:lineRule="auto"/>
        <w:ind w:firstLine="480" w:firstLineChars="200"/>
        <w:rPr>
          <w:rFonts w:ascii="仿宋" w:hAnsi="仿宋" w:eastAsia="仿宋"/>
          <w:b/>
          <w:bCs/>
          <w:sz w:val="24"/>
        </w:rPr>
      </w:pPr>
      <w:r>
        <w:rPr>
          <w:rFonts w:hint="eastAsia" w:ascii="仿宋" w:hAnsi="仿宋" w:eastAsia="仿宋"/>
          <w:sz w:val="24"/>
        </w:rPr>
        <w:t>深入贯彻习近平总书记对职业教育的重要指示精神和全国职业教育大会精神，落实思想政治教育是立德树人根本任务的中心环节。模块重点邀请行业知名专家解读国家职业教育政策、文件精神和育人理念，以课程思政为抓手，强化师德师风建设，提升教师核心素养，争当“四有”好老师。</w:t>
      </w:r>
      <w:r>
        <w:rPr>
          <w:rFonts w:hint="eastAsia" w:ascii="仿宋" w:hAnsi="仿宋" w:eastAsia="仿宋"/>
          <w:b/>
          <w:bCs/>
          <w:sz w:val="24"/>
        </w:rPr>
        <w:t>本主题各培训内容以强化理工类教师思想素质和扩展视野认识为主。</w:t>
      </w:r>
    </w:p>
    <w:p>
      <w:pPr>
        <w:spacing w:before="48" w:after="48" w:line="300" w:lineRule="auto"/>
        <w:ind w:left="420"/>
        <w:rPr>
          <w:rFonts w:ascii="仿宋" w:hAnsi="仿宋" w:eastAsia="仿宋"/>
          <w:b/>
          <w:bCs/>
          <w:sz w:val="24"/>
        </w:rPr>
      </w:pPr>
      <w:r>
        <w:rPr>
          <w:rFonts w:hint="eastAsia" w:ascii="仿宋" w:hAnsi="仿宋" w:eastAsia="仿宋"/>
          <w:b/>
          <w:bCs/>
          <w:sz w:val="24"/>
        </w:rPr>
        <w:t>2</w:t>
      </w:r>
      <w:r>
        <w:rPr>
          <w:rFonts w:ascii="仿宋" w:hAnsi="仿宋" w:eastAsia="仿宋"/>
          <w:b/>
          <w:bCs/>
          <w:sz w:val="24"/>
        </w:rPr>
        <w:t xml:space="preserve">. </w:t>
      </w:r>
      <w:r>
        <w:rPr>
          <w:rFonts w:hint="eastAsia" w:ascii="仿宋" w:hAnsi="仿宋" w:eastAsia="仿宋"/>
          <w:b/>
          <w:bCs/>
          <w:sz w:val="24"/>
        </w:rPr>
        <w:t>完善信息化教学能力</w:t>
      </w:r>
    </w:p>
    <w:p>
      <w:pPr>
        <w:spacing w:line="300" w:lineRule="auto"/>
        <w:ind w:firstLine="480" w:firstLineChars="200"/>
        <w:rPr>
          <w:rFonts w:ascii="仿宋" w:hAnsi="仿宋" w:eastAsia="仿宋"/>
          <w:sz w:val="24"/>
        </w:rPr>
      </w:pPr>
      <w:r>
        <w:rPr>
          <w:rFonts w:hint="eastAsia" w:ascii="仿宋" w:hAnsi="仿宋" w:eastAsia="仿宋"/>
          <w:sz w:val="24"/>
        </w:rPr>
        <w:t>深化“三教”改革，围绕课程标准制定、课程开发、教法改革、新形态教材建设等不同方面提升教师的信息化教学能力，强化育人担当。</w:t>
      </w:r>
      <w:r>
        <w:rPr>
          <w:rFonts w:hint="eastAsia" w:ascii="仿宋" w:hAnsi="仿宋" w:eastAsia="仿宋"/>
          <w:b/>
          <w:bCs/>
          <w:color w:val="000000"/>
          <w:sz w:val="24"/>
        </w:rPr>
        <w:t>本主题各培训内容实施的重点是引导理工类专业教师形成具有个人和专业特色的信息化教学资源。</w:t>
      </w:r>
    </w:p>
    <w:p>
      <w:pPr>
        <w:spacing w:before="48" w:after="48" w:line="300" w:lineRule="auto"/>
        <w:ind w:left="420"/>
        <w:rPr>
          <w:rFonts w:ascii="仿宋" w:hAnsi="仿宋" w:eastAsia="仿宋"/>
          <w:b/>
          <w:bCs/>
          <w:sz w:val="24"/>
        </w:rPr>
      </w:pPr>
      <w:r>
        <w:rPr>
          <w:rFonts w:hint="eastAsia" w:ascii="仿宋" w:hAnsi="仿宋" w:eastAsia="仿宋"/>
          <w:b/>
          <w:bCs/>
          <w:sz w:val="24"/>
        </w:rPr>
        <w:t>3</w:t>
      </w:r>
      <w:r>
        <w:rPr>
          <w:rFonts w:ascii="仿宋" w:hAnsi="仿宋" w:eastAsia="仿宋"/>
          <w:b/>
          <w:bCs/>
          <w:sz w:val="24"/>
        </w:rPr>
        <w:t xml:space="preserve">. </w:t>
      </w:r>
      <w:r>
        <w:rPr>
          <w:rFonts w:hint="eastAsia" w:ascii="仿宋" w:hAnsi="仿宋" w:eastAsia="仿宋"/>
          <w:b/>
          <w:bCs/>
          <w:sz w:val="24"/>
        </w:rPr>
        <w:t>提升信息技术应用能力</w:t>
      </w:r>
    </w:p>
    <w:p>
      <w:pPr>
        <w:adjustRightInd w:val="0"/>
        <w:snapToGrid w:val="0"/>
        <w:spacing w:before="159" w:beforeLines="50" w:after="159" w:afterLines="50" w:line="360" w:lineRule="auto"/>
        <w:ind w:firstLine="480" w:firstLineChars="200"/>
        <w:rPr>
          <w:rFonts w:ascii="仿宋" w:hAnsi="仿宋" w:eastAsia="仿宋"/>
          <w:b/>
          <w:bCs/>
          <w:snapToGrid w:val="0"/>
          <w:sz w:val="24"/>
        </w:rPr>
      </w:pPr>
      <w:r>
        <w:rPr>
          <w:rFonts w:hint="eastAsia" w:ascii="仿宋" w:hAnsi="仿宋" w:eastAsia="仿宋"/>
          <w:sz w:val="24"/>
        </w:rPr>
        <w:t>应对先进制造业智能化升级背景下，技术更新迭代加快、生产组织模式转变等引发的技术技能新要求，结合专业升级和信息化改造，以教学产品开发和信息化教学资源制作为载体，实现理工类专业信息技术应用能力的提升。</w:t>
      </w:r>
      <w:r>
        <w:rPr>
          <w:rFonts w:hint="eastAsia" w:ascii="仿宋" w:hAnsi="仿宋" w:eastAsia="仿宋"/>
          <w:b/>
          <w:bCs/>
          <w:color w:val="000000"/>
          <w:sz w:val="24"/>
        </w:rPr>
        <w:t>本主题各培训内容实施重点是校企合作背景下的信息技术应用，提升信息化教学资源转化能力。</w:t>
      </w:r>
    </w:p>
    <w:p>
      <w:pPr>
        <w:rPr>
          <w:rFonts w:ascii="仿宋" w:hAnsi="仿宋" w:eastAsia="仿宋"/>
          <w:sz w:val="24"/>
        </w:rPr>
      </w:pPr>
    </w:p>
    <w:p>
      <w:pPr>
        <w:rPr>
          <w:rFonts w:ascii="仿宋" w:hAnsi="仿宋" w:eastAsia="仿宋"/>
          <w:b/>
          <w:snapToGrid w:val="0"/>
          <w:sz w:val="28"/>
          <w:szCs w:val="28"/>
        </w:rPr>
      </w:pPr>
      <w:r>
        <w:rPr>
          <w:rFonts w:hint="eastAsia" w:ascii="仿宋" w:hAnsi="仿宋" w:eastAsia="仿宋"/>
          <w:b/>
          <w:snapToGrid w:val="0"/>
          <w:sz w:val="28"/>
          <w:szCs w:val="28"/>
        </w:rPr>
        <w:t>二、</w:t>
      </w:r>
      <w:r>
        <w:rPr>
          <w:rFonts w:ascii="仿宋" w:hAnsi="仿宋" w:eastAsia="仿宋"/>
          <w:b/>
          <w:snapToGrid w:val="0"/>
          <w:sz w:val="28"/>
          <w:szCs w:val="28"/>
        </w:rPr>
        <w:t>培训项目实施计划</w:t>
      </w:r>
    </w:p>
    <w:p>
      <w:pPr>
        <w:rPr>
          <w:rFonts w:ascii="仿宋" w:hAnsi="仿宋" w:eastAsia="仿宋"/>
          <w:b/>
          <w:bCs/>
          <w:snapToGrid w:val="0"/>
          <w:sz w:val="24"/>
        </w:rPr>
      </w:pPr>
      <w:r>
        <w:rPr>
          <w:rFonts w:ascii="仿宋" w:hAnsi="仿宋" w:eastAsia="仿宋"/>
          <w:b/>
          <w:bCs/>
          <w:snapToGrid w:val="0"/>
          <w:sz w:val="24"/>
        </w:rPr>
        <w:t>2.1培训安排</w:t>
      </w:r>
    </w:p>
    <w:p>
      <w:pPr>
        <w:ind w:firstLine="241" w:firstLineChars="100"/>
        <w:rPr>
          <w:rFonts w:ascii="仿宋" w:hAnsi="仿宋" w:eastAsia="仿宋"/>
          <w:b/>
          <w:bCs/>
          <w:snapToGrid w:val="0"/>
          <w:sz w:val="24"/>
        </w:rPr>
      </w:pPr>
      <w:r>
        <w:rPr>
          <w:rFonts w:ascii="仿宋" w:hAnsi="仿宋" w:eastAsia="仿宋"/>
          <w:b/>
          <w:bCs/>
          <w:snapToGrid w:val="0"/>
          <w:sz w:val="24"/>
        </w:rPr>
        <w:t>2.1.1培训时间</w:t>
      </w:r>
    </w:p>
    <w:p>
      <w:pPr>
        <w:rPr>
          <w:rFonts w:ascii="仿宋" w:hAnsi="仿宋" w:eastAsia="仿宋"/>
          <w:snapToGrid w:val="0"/>
          <w:sz w:val="24"/>
        </w:rPr>
      </w:pPr>
      <w:r>
        <w:rPr>
          <w:rFonts w:ascii="仿宋" w:hAnsi="仿宋" w:eastAsia="仿宋"/>
          <w:snapToGrid w:val="0"/>
          <w:sz w:val="24"/>
        </w:rPr>
        <w:t>培训时间为20</w:t>
      </w:r>
      <w:r>
        <w:rPr>
          <w:rFonts w:hint="eastAsia" w:ascii="仿宋" w:hAnsi="仿宋" w:eastAsia="仿宋"/>
          <w:snapToGrid w:val="0"/>
          <w:sz w:val="24"/>
        </w:rPr>
        <w:t>2</w:t>
      </w:r>
      <w:r>
        <w:rPr>
          <w:rFonts w:ascii="仿宋" w:hAnsi="仿宋" w:eastAsia="仿宋"/>
          <w:snapToGrid w:val="0"/>
          <w:sz w:val="24"/>
        </w:rPr>
        <w:t>2年07月10日-2022年07月23日。</w:t>
      </w:r>
    </w:p>
    <w:p>
      <w:pPr>
        <w:ind w:firstLine="241" w:firstLineChars="100"/>
        <w:rPr>
          <w:rFonts w:ascii="仿宋" w:hAnsi="仿宋" w:eastAsia="仿宋"/>
          <w:b/>
          <w:bCs/>
          <w:snapToGrid w:val="0"/>
          <w:sz w:val="24"/>
        </w:rPr>
      </w:pPr>
      <w:r>
        <w:rPr>
          <w:rFonts w:ascii="仿宋" w:hAnsi="仿宋" w:eastAsia="仿宋"/>
          <w:b/>
          <w:bCs/>
          <w:snapToGrid w:val="0"/>
          <w:sz w:val="24"/>
        </w:rPr>
        <w:t>2.1.2培训地点</w:t>
      </w:r>
    </w:p>
    <w:p>
      <w:pPr>
        <w:rPr>
          <w:rFonts w:ascii="仿宋" w:hAnsi="仿宋" w:eastAsia="仿宋"/>
          <w:b/>
          <w:bCs/>
          <w:snapToGrid w:val="0"/>
          <w:sz w:val="24"/>
        </w:rPr>
      </w:pPr>
      <w:r>
        <w:rPr>
          <w:rFonts w:ascii="仿宋" w:hAnsi="仿宋" w:eastAsia="仿宋"/>
          <w:snapToGrid w:val="0"/>
          <w:sz w:val="24"/>
        </w:rPr>
        <w:t xml:space="preserve">    培训地点</w:t>
      </w:r>
      <w:r>
        <w:rPr>
          <w:rFonts w:hint="eastAsia" w:ascii="仿宋" w:hAnsi="仿宋" w:eastAsia="仿宋"/>
          <w:snapToGrid w:val="0"/>
          <w:sz w:val="24"/>
        </w:rPr>
        <w:t>：</w:t>
      </w:r>
      <w:r>
        <w:rPr>
          <w:rFonts w:ascii="仿宋" w:hAnsi="仿宋" w:eastAsia="仿宋"/>
          <w:snapToGrid w:val="0"/>
          <w:sz w:val="24"/>
        </w:rPr>
        <w:t>无锡职业技术学院（无锡市高浪西路1600号）。</w:t>
      </w:r>
    </w:p>
    <w:p>
      <w:pPr>
        <w:ind w:firstLine="241" w:firstLineChars="100"/>
        <w:rPr>
          <w:rFonts w:ascii="仿宋" w:hAnsi="仿宋" w:eastAsia="仿宋"/>
          <w:b/>
          <w:bCs/>
          <w:snapToGrid w:val="0"/>
          <w:sz w:val="24"/>
        </w:rPr>
      </w:pPr>
      <w:r>
        <w:rPr>
          <w:rFonts w:ascii="仿宋" w:hAnsi="仿宋" w:eastAsia="仿宋"/>
          <w:b/>
          <w:bCs/>
          <w:snapToGrid w:val="0"/>
          <w:sz w:val="24"/>
        </w:rPr>
        <w:t>2.1.4 授课安排</w:t>
      </w:r>
    </w:p>
    <w:tbl>
      <w:tblPr>
        <w:tblStyle w:val="13"/>
        <w:tblW w:w="8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4"/>
        <w:gridCol w:w="755"/>
        <w:gridCol w:w="2948"/>
        <w:gridCol w:w="2299"/>
        <w:gridCol w:w="1587"/>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2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b/>
                <w:bCs/>
                <w:color w:val="000000"/>
                <w:sz w:val="24"/>
              </w:rPr>
            </w:pPr>
            <w:r>
              <w:rPr>
                <w:rFonts w:hint="eastAsia" w:ascii="仿宋" w:hAnsi="仿宋" w:eastAsia="仿宋"/>
                <w:b/>
                <w:bCs/>
                <w:color w:val="000000"/>
                <w:sz w:val="24"/>
              </w:rPr>
              <w:t>日期</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b/>
                <w:bCs/>
                <w:color w:val="000000"/>
                <w:sz w:val="24"/>
              </w:rPr>
            </w:pPr>
            <w:r>
              <w:rPr>
                <w:rFonts w:hint="eastAsia" w:ascii="仿宋" w:hAnsi="仿宋" w:eastAsia="仿宋"/>
                <w:b/>
                <w:bCs/>
                <w:color w:val="000000"/>
                <w:sz w:val="24"/>
              </w:rPr>
              <w:t>时间</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b/>
                <w:bCs/>
                <w:color w:val="000000"/>
                <w:sz w:val="24"/>
              </w:rPr>
            </w:pPr>
            <w:r>
              <w:rPr>
                <w:rFonts w:hint="eastAsia" w:ascii="仿宋" w:hAnsi="仿宋" w:eastAsia="仿宋"/>
                <w:b/>
                <w:bCs/>
                <w:color w:val="000000"/>
                <w:sz w:val="24"/>
              </w:rPr>
              <w:t>课程主题</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b/>
                <w:bCs/>
                <w:color w:val="000000"/>
                <w:sz w:val="24"/>
              </w:rPr>
            </w:pPr>
            <w:r>
              <w:rPr>
                <w:rFonts w:hint="eastAsia" w:ascii="仿宋" w:hAnsi="仿宋" w:eastAsia="仿宋"/>
                <w:b/>
                <w:bCs/>
                <w:color w:val="000000"/>
                <w:sz w:val="24"/>
              </w:rPr>
              <w:t>培训方式</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b/>
                <w:bCs/>
                <w:color w:val="000000"/>
                <w:sz w:val="24"/>
              </w:rPr>
            </w:pPr>
            <w:r>
              <w:rPr>
                <w:rFonts w:hint="eastAsia" w:ascii="仿宋" w:hAnsi="仿宋" w:eastAsia="仿宋"/>
                <w:b/>
                <w:bCs/>
                <w:color w:val="000000"/>
                <w:sz w:val="24"/>
              </w:rPr>
              <w:t>主讲人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2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1</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学员报到</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无锡古罗马</w:t>
            </w:r>
            <w:r>
              <w:rPr>
                <w:rFonts w:ascii="仿宋" w:hAnsi="仿宋" w:eastAsia="仿宋"/>
                <w:sz w:val="24"/>
              </w:rPr>
              <w:t>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2</w:t>
            </w:r>
            <w:r>
              <w:rPr>
                <w:rFonts w:hint="eastAsia" w:ascii="仿宋" w:hAnsi="仿宋" w:eastAsia="仿宋"/>
                <w:sz w:val="24"/>
              </w:rPr>
              <w:t>日</w:t>
            </w:r>
          </w:p>
        </w:tc>
        <w:tc>
          <w:tcPr>
            <w:tcW w:w="755" w:type="dxa"/>
            <w:vMerge w:val="restart"/>
            <w:tcBorders>
              <w:top w:val="single" w:color="auto" w:sz="4" w:space="0"/>
              <w:left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开班仪式</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w:t>
            </w:r>
          </w:p>
        </w:tc>
        <w:tc>
          <w:tcPr>
            <w:tcW w:w="15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66" w:type="dxa"/>
            <w:gridSpan w:val="2"/>
            <w:tcBorders>
              <w:top w:val="single" w:color="auto" w:sz="4" w:space="0"/>
              <w:left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2</w:t>
            </w:r>
            <w:r>
              <w:rPr>
                <w:rFonts w:hint="eastAsia" w:ascii="仿宋" w:hAnsi="仿宋" w:eastAsia="仿宋"/>
                <w:sz w:val="24"/>
              </w:rPr>
              <w:t>日</w:t>
            </w:r>
          </w:p>
        </w:tc>
        <w:tc>
          <w:tcPr>
            <w:tcW w:w="755" w:type="dxa"/>
            <w:vMerge w:val="continue"/>
            <w:tcBorders>
              <w:left w:val="single" w:color="auto" w:sz="4" w:space="0"/>
              <w:right w:val="single" w:color="auto" w:sz="4" w:space="0"/>
            </w:tcBorders>
            <w:vAlign w:val="center"/>
          </w:tcPr>
          <w:p>
            <w:pPr>
              <w:rPr>
                <w:rFonts w:ascii="仿宋" w:hAnsi="仿宋" w:eastAsia="仿宋"/>
                <w:sz w:val="24"/>
              </w:rPr>
            </w:pPr>
          </w:p>
        </w:tc>
        <w:tc>
          <w:tcPr>
            <w:tcW w:w="2948" w:type="dxa"/>
            <w:tcBorders>
              <w:top w:val="single" w:color="auto" w:sz="4" w:space="0"/>
              <w:left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加强党的建设，全面提升政治能力</w:t>
            </w:r>
          </w:p>
        </w:tc>
        <w:tc>
          <w:tcPr>
            <w:tcW w:w="2299" w:type="dxa"/>
            <w:tcBorders>
              <w:top w:val="single" w:color="auto" w:sz="4" w:space="0"/>
              <w:left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2</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职业院校师德师风体系建设与研讨</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交流研讨</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7月13日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工匠精神培养与教学产品制作</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项目实践</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7月13日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1+X课证融通与复合型技术技能人才培养</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7月14日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教育部课程思政示范课程建设</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7月14日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sz w:val="24"/>
              </w:rPr>
            </w:pPr>
            <w:r>
              <w:rPr>
                <w:rFonts w:hint="eastAsia" w:ascii="仿宋" w:hAnsi="仿宋" w:eastAsia="仿宋"/>
                <w:sz w:val="24"/>
              </w:rPr>
              <w:t>国家专业教学标准建设是实现职业教育现代化的基础 ——《国家职业教育改革实施方案》解读</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校外本科院校教师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7月15日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职教新时代：我们需要怎样高质量的课程、教学设计与实施</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校外本科院校教师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7月15日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企业数字化转型与职业教育人才培养</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行业企业教师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8</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全国职业院校技能大赛教学能力比赛方案解读</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校外本科院校教师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8</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智慧校园助力学校高质量发展-信息技术在服务教育教学的作用</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9</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模块化教学课程教学设计的要求、思路和关键点</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案例分享</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7月1</w:t>
            </w:r>
            <w:r>
              <w:rPr>
                <w:rFonts w:ascii="仿宋" w:hAnsi="仿宋" w:eastAsia="仿宋"/>
                <w:sz w:val="24"/>
              </w:rPr>
              <w:t>9</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专业课程建设与新形态教材开发-以国家教材特等奖教材为例</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案例分享</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w:t>
            </w:r>
            <w:r>
              <w:rPr>
                <w:rFonts w:ascii="仿宋" w:hAnsi="仿宋" w:eastAsia="仿宋"/>
                <w:sz w:val="24"/>
              </w:rPr>
              <w:t>20</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信息化专业课程开发与实践</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专家授课</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w:t>
            </w:r>
            <w:r>
              <w:rPr>
                <w:rFonts w:ascii="仿宋" w:hAnsi="仿宋" w:eastAsia="仿宋"/>
                <w:sz w:val="24"/>
              </w:rPr>
              <w:t>20</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在线开放课程开发的要求、思路和关键点</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项目实践</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w:t>
            </w:r>
            <w:r>
              <w:rPr>
                <w:rFonts w:ascii="仿宋" w:hAnsi="仿宋" w:eastAsia="仿宋"/>
                <w:sz w:val="24"/>
              </w:rPr>
              <w:t>21</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微课资源建设和信息化授课组织</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项目实践</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w:t>
            </w:r>
            <w:r>
              <w:rPr>
                <w:rFonts w:ascii="仿宋" w:hAnsi="仿宋" w:eastAsia="仿宋"/>
                <w:sz w:val="24"/>
              </w:rPr>
              <w:t>21</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数字孪生和虚拟仿真技术在教学实践中的应用</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项目实践</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本校教师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7月2</w:t>
            </w:r>
            <w:r>
              <w:rPr>
                <w:rFonts w:ascii="仿宋" w:hAnsi="仿宋" w:eastAsia="仿宋"/>
                <w:sz w:val="24"/>
              </w:rPr>
              <w:t>2</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上海虚拟仿真教学工程技术研究中心</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考察观摩</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行业企业教师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7月2</w:t>
            </w:r>
            <w:r>
              <w:rPr>
                <w:rFonts w:ascii="仿宋" w:hAnsi="仿宋" w:eastAsia="仿宋"/>
                <w:sz w:val="24"/>
              </w:rPr>
              <w:t>2</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VR课件创作能力形成</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项目实践</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行业企业教师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7月2</w:t>
            </w:r>
            <w:r>
              <w:rPr>
                <w:rFonts w:ascii="仿宋" w:hAnsi="仿宋" w:eastAsia="仿宋"/>
                <w:sz w:val="24"/>
              </w:rPr>
              <w:t>3</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智能制造研发设计与仿真分析、虚拟仿真资源制作</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项目实践</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行业企业教师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7月2</w:t>
            </w:r>
            <w:r>
              <w:rPr>
                <w:rFonts w:ascii="仿宋" w:hAnsi="仿宋" w:eastAsia="仿宋"/>
                <w:sz w:val="24"/>
              </w:rPr>
              <w:t>3</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下午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 xml:space="preserve">信息化教学授课演练 </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项目实践</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ascii="仿宋" w:hAnsi="仿宋" w:eastAsia="仿宋"/>
                <w:sz w:val="24"/>
              </w:rPr>
              <w:t>行业企业教师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cantSplit/>
          <w:trHeight w:val="68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7月</w:t>
            </w:r>
            <w:r>
              <w:rPr>
                <w:rFonts w:ascii="仿宋" w:hAnsi="仿宋" w:eastAsia="仿宋"/>
                <w:sz w:val="24"/>
              </w:rPr>
              <w:t>24</w:t>
            </w:r>
            <w:r>
              <w:rPr>
                <w:rFonts w:hint="eastAsia" w:ascii="仿宋" w:hAnsi="仿宋" w:eastAsia="仿宋"/>
                <w:sz w:val="24"/>
              </w:rPr>
              <w:t>日</w:t>
            </w:r>
          </w:p>
        </w:tc>
        <w:tc>
          <w:tcPr>
            <w:tcW w:w="7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上午</w:t>
            </w:r>
          </w:p>
        </w:tc>
        <w:tc>
          <w:tcPr>
            <w:tcW w:w="294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r>
              <w:rPr>
                <w:rFonts w:hint="eastAsia" w:ascii="仿宋" w:hAnsi="仿宋" w:eastAsia="仿宋"/>
                <w:sz w:val="24"/>
              </w:rPr>
              <w:t>返程</w:t>
            </w: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sz w:val="24"/>
              </w:rPr>
            </w:pPr>
          </w:p>
        </w:tc>
      </w:tr>
    </w:tbl>
    <w:p>
      <w:pPr>
        <w:rPr>
          <w:rFonts w:ascii="仿宋" w:hAnsi="仿宋" w:eastAsia="仿宋"/>
          <w:b/>
          <w:bCs/>
          <w:snapToGrid w:val="0"/>
          <w:sz w:val="24"/>
        </w:rPr>
      </w:pPr>
    </w:p>
    <w:p>
      <w:pPr>
        <w:rPr>
          <w:rFonts w:ascii="仿宋" w:hAnsi="仿宋" w:eastAsia="仿宋" w:cs="仿宋"/>
          <w:color w:val="000000"/>
          <w:sz w:val="24"/>
        </w:rPr>
      </w:pPr>
    </w:p>
    <w:p>
      <w:pPr>
        <w:rPr>
          <w:rFonts w:ascii="仿宋" w:hAnsi="仿宋" w:eastAsia="仿宋"/>
          <w:b/>
          <w:bCs/>
          <w:snapToGrid w:val="0"/>
          <w:sz w:val="24"/>
        </w:rPr>
      </w:pPr>
      <w:r>
        <w:rPr>
          <w:rFonts w:hint="eastAsia" w:ascii="仿宋" w:hAnsi="仿宋" w:eastAsia="仿宋"/>
          <w:b/>
          <w:bCs/>
          <w:snapToGrid w:val="0"/>
          <w:sz w:val="24"/>
        </w:rPr>
        <w:t>2</w:t>
      </w:r>
      <w:r>
        <w:rPr>
          <w:rFonts w:ascii="仿宋" w:hAnsi="仿宋" w:eastAsia="仿宋"/>
          <w:b/>
          <w:bCs/>
          <w:snapToGrid w:val="0"/>
          <w:sz w:val="24"/>
        </w:rPr>
        <w:t xml:space="preserve">.4 </w:t>
      </w:r>
      <w:r>
        <w:rPr>
          <w:rFonts w:hint="eastAsia" w:ascii="仿宋" w:hAnsi="仿宋" w:eastAsia="仿宋"/>
          <w:b/>
          <w:bCs/>
          <w:snapToGrid w:val="0"/>
          <w:sz w:val="24"/>
        </w:rPr>
        <w:t>线上培训预案</w:t>
      </w:r>
    </w:p>
    <w:p>
      <w:pPr>
        <w:rPr>
          <w:rFonts w:ascii="仿宋" w:hAnsi="仿宋" w:eastAsia="仿宋"/>
          <w:b/>
          <w:bCs/>
          <w:snapToGrid w:val="0"/>
          <w:sz w:val="24"/>
        </w:rPr>
      </w:pPr>
      <w:r>
        <w:rPr>
          <w:rFonts w:hint="eastAsia" w:ascii="仿宋" w:hAnsi="仿宋" w:eastAsia="仿宋"/>
          <w:b/>
          <w:bCs/>
          <w:snapToGrid w:val="0"/>
          <w:sz w:val="24"/>
        </w:rPr>
        <w:t>一、在线网络培训平台条件和资源</w:t>
      </w:r>
    </w:p>
    <w:p>
      <w:pPr>
        <w:rPr>
          <w:rFonts w:ascii="仿宋" w:hAnsi="仿宋" w:eastAsia="仿宋" w:cs="Arial"/>
          <w:kern w:val="0"/>
          <w:sz w:val="24"/>
        </w:rPr>
      </w:pPr>
      <w:r>
        <w:rPr>
          <w:rFonts w:hint="eastAsia" w:ascii="仿宋" w:hAnsi="仿宋" w:eastAsia="仿宋" w:cs="Arial"/>
          <w:kern w:val="0"/>
          <w:sz w:val="24"/>
        </w:rPr>
        <w:t>1、在线网络培训平台条件</w:t>
      </w:r>
    </w:p>
    <w:p>
      <w:pPr>
        <w:rPr>
          <w:rFonts w:ascii="仿宋" w:hAnsi="仿宋" w:eastAsia="仿宋" w:cs="仿宋"/>
          <w:sz w:val="24"/>
        </w:rPr>
      </w:pPr>
      <w:r>
        <w:rPr>
          <w:rFonts w:hint="eastAsia" w:ascii="仿宋" w:hAnsi="仿宋" w:eastAsia="仿宋" w:cs="仿宋"/>
          <w:sz w:val="24"/>
        </w:rPr>
        <w:t>（1）我校</w:t>
      </w:r>
      <w:r>
        <w:rPr>
          <w:rFonts w:ascii="仿宋" w:hAnsi="仿宋" w:eastAsia="仿宋" w:cs="仿宋"/>
          <w:sz w:val="24"/>
        </w:rPr>
        <w:t>具有成熟的</w:t>
      </w:r>
      <w:r>
        <w:rPr>
          <w:rFonts w:hint="eastAsia" w:ascii="仿宋" w:hAnsi="仿宋" w:eastAsia="仿宋" w:cs="仿宋"/>
          <w:sz w:val="24"/>
        </w:rPr>
        <w:t>智慧职教、泛雅、爱课程等网络教学平台</w:t>
      </w:r>
    </w:p>
    <w:p>
      <w:pPr>
        <w:jc w:val="center"/>
      </w:pPr>
      <w:r>
        <w:rPr>
          <w:rFonts w:ascii="宋体" w:hAnsi="宋体"/>
        </w:rPr>
        <w:drawing>
          <wp:inline distT="0" distB="0" distL="0" distR="0">
            <wp:extent cx="2905125" cy="1981200"/>
            <wp:effectExtent l="0" t="0" r="0" b="0"/>
            <wp:docPr id="18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05125" cy="1981200"/>
                    </a:xfrm>
                    <a:prstGeom prst="rect">
                      <a:avLst/>
                    </a:prstGeom>
                    <a:noFill/>
                    <a:ln>
                      <a:noFill/>
                    </a:ln>
                  </pic:spPr>
                </pic:pic>
              </a:graphicData>
            </a:graphic>
          </wp:inline>
        </w:drawing>
      </w:r>
      <w:r>
        <w:rPr>
          <w:rFonts w:ascii="宋体" w:hAnsi="宋体"/>
        </w:rPr>
        <w:drawing>
          <wp:inline distT="0" distB="0" distL="0" distR="0">
            <wp:extent cx="2886075" cy="1981200"/>
            <wp:effectExtent l="0" t="0" r="0" b="0"/>
            <wp:docPr id="18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86075" cy="1981200"/>
                    </a:xfrm>
                    <a:prstGeom prst="rect">
                      <a:avLst/>
                    </a:prstGeom>
                    <a:noFill/>
                    <a:ln>
                      <a:noFill/>
                    </a:ln>
                  </pic:spPr>
                </pic:pic>
              </a:graphicData>
            </a:graphic>
          </wp:inline>
        </w:drawing>
      </w:r>
    </w:p>
    <w:p>
      <w:pPr>
        <w:jc w:val="center"/>
        <w:rPr>
          <w:rFonts w:ascii="宋体" w:hAnsi="宋体"/>
        </w:rPr>
      </w:pPr>
      <w:r>
        <w:rPr>
          <w:rFonts w:hint="eastAsia" w:ascii="宋体" w:hAnsi="宋体" w:cs="仿宋"/>
          <w:szCs w:val="21"/>
        </w:rPr>
        <w:t>图：泛雅平台与爱课程平台</w:t>
      </w:r>
    </w:p>
    <w:p>
      <w:pPr>
        <w:jc w:val="center"/>
      </w:pPr>
      <w:r>
        <w:drawing>
          <wp:inline distT="0" distB="0" distL="0" distR="0">
            <wp:extent cx="3600450" cy="1914525"/>
            <wp:effectExtent l="0" t="0" r="0" b="0"/>
            <wp:docPr id="1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00450" cy="1914525"/>
                    </a:xfrm>
                    <a:prstGeom prst="rect">
                      <a:avLst/>
                    </a:prstGeom>
                    <a:noFill/>
                    <a:ln>
                      <a:noFill/>
                    </a:ln>
                  </pic:spPr>
                </pic:pic>
              </a:graphicData>
            </a:graphic>
          </wp:inline>
        </w:drawing>
      </w:r>
    </w:p>
    <w:p>
      <w:pPr>
        <w:jc w:val="center"/>
        <w:rPr>
          <w:rFonts w:ascii="宋体" w:hAnsi="宋体" w:cs="仿宋"/>
          <w:szCs w:val="21"/>
        </w:rPr>
      </w:pPr>
      <w:r>
        <w:rPr>
          <w:rFonts w:hint="eastAsia" w:ascii="宋体" w:hAnsi="宋体" w:cs="仿宋"/>
          <w:szCs w:val="21"/>
        </w:rPr>
        <w:t>智慧职教平台</w:t>
      </w:r>
    </w:p>
    <w:p>
      <w:pPr>
        <w:rPr>
          <w:rFonts w:ascii="仿宋" w:hAnsi="仿宋" w:eastAsia="仿宋" w:cs="仿宋"/>
          <w:sz w:val="24"/>
        </w:rPr>
      </w:pPr>
      <w:r>
        <w:rPr>
          <w:rFonts w:hint="eastAsia" w:ascii="仿宋" w:hAnsi="仿宋" w:eastAsia="仿宋" w:cs="仿宋"/>
          <w:sz w:val="24"/>
        </w:rPr>
        <w:t>（2）在线培训QQ、钉钉、腾讯课堂等网络工具，采用“教学平台学习任务布置与自学+在线答疑和辅导”“间断直播+教学平台讨论和答疑”“电子教材（或备课笔记）+慕课+PPT+群辅导+作业”“全程直播”等方式组织开展在线培训活动。邀请各网络平台专业人员在线指导。可以</w:t>
      </w:r>
      <w:r>
        <w:rPr>
          <w:rFonts w:ascii="仿宋" w:hAnsi="仿宋" w:eastAsia="仿宋" w:cs="仿宋"/>
          <w:sz w:val="24"/>
        </w:rPr>
        <w:t>确保</w:t>
      </w:r>
      <w:r>
        <w:rPr>
          <w:rFonts w:hint="eastAsia" w:ascii="仿宋" w:hAnsi="仿宋" w:eastAsia="仿宋" w:cs="仿宋"/>
          <w:sz w:val="24"/>
        </w:rPr>
        <w:t>整体在线培训运行平稳有序。</w:t>
      </w:r>
    </w:p>
    <w:p>
      <w:pPr>
        <w:rPr>
          <w:rFonts w:ascii="仿宋" w:hAnsi="仿宋" w:eastAsia="仿宋" w:cs="Arial"/>
          <w:kern w:val="0"/>
          <w:sz w:val="24"/>
        </w:rPr>
      </w:pPr>
      <w:r>
        <w:rPr>
          <w:rFonts w:hint="eastAsia" w:ascii="仿宋" w:hAnsi="仿宋" w:eastAsia="仿宋" w:cs="Arial"/>
          <w:kern w:val="0"/>
          <w:sz w:val="24"/>
        </w:rPr>
        <w:t>2.在线网络培训资源</w:t>
      </w:r>
    </w:p>
    <w:p>
      <w:pPr>
        <w:rPr>
          <w:rFonts w:ascii="仿宋" w:hAnsi="仿宋" w:eastAsia="仿宋" w:cs="仿宋"/>
          <w:sz w:val="24"/>
        </w:rPr>
      </w:pPr>
      <w:r>
        <w:rPr>
          <w:rFonts w:hint="eastAsia" w:ascii="仿宋" w:hAnsi="仿宋" w:eastAsia="仿宋" w:cs="仿宋"/>
          <w:sz w:val="24"/>
        </w:rPr>
        <w:t>在智慧职教、泛雅、爱课程等网络教学平台上</w:t>
      </w:r>
      <w:r>
        <w:rPr>
          <w:rFonts w:ascii="仿宋" w:hAnsi="仿宋" w:eastAsia="仿宋" w:cs="仿宋"/>
          <w:sz w:val="24"/>
        </w:rPr>
        <w:t>具有丰富的教学资源，同时可以根据需要，开设相关培训课程。</w:t>
      </w:r>
    </w:p>
    <w:p>
      <w:pPr>
        <w:rPr>
          <w:rFonts w:ascii="宋体" w:hAnsi="宋体" w:cs="仿宋"/>
          <w:szCs w:val="21"/>
        </w:rPr>
      </w:pPr>
      <w:r>
        <w:drawing>
          <wp:inline distT="0" distB="0" distL="0" distR="0">
            <wp:extent cx="2247900" cy="1466850"/>
            <wp:effectExtent l="0" t="0" r="0" b="0"/>
            <wp:docPr id="1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47900" cy="1466850"/>
                    </a:xfrm>
                    <a:prstGeom prst="rect">
                      <a:avLst/>
                    </a:prstGeom>
                    <a:noFill/>
                    <a:ln>
                      <a:noFill/>
                    </a:ln>
                  </pic:spPr>
                </pic:pic>
              </a:graphicData>
            </a:graphic>
          </wp:inline>
        </w:drawing>
      </w:r>
      <w:r>
        <w:t xml:space="preserve">  </w:t>
      </w:r>
      <w:r>
        <w:drawing>
          <wp:inline distT="0" distB="0" distL="0" distR="0">
            <wp:extent cx="2133600" cy="1476375"/>
            <wp:effectExtent l="0" t="0" r="0" b="0"/>
            <wp:docPr id="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33600" cy="1476375"/>
                    </a:xfrm>
                    <a:prstGeom prst="rect">
                      <a:avLst/>
                    </a:prstGeom>
                    <a:noFill/>
                    <a:ln>
                      <a:noFill/>
                    </a:ln>
                  </pic:spPr>
                </pic:pic>
              </a:graphicData>
            </a:graphic>
          </wp:inline>
        </w:drawing>
      </w:r>
    </w:p>
    <w:p>
      <w:pPr>
        <w:rPr>
          <w:rFonts w:ascii="宋体" w:hAnsi="宋体" w:cs="仿宋"/>
          <w:szCs w:val="21"/>
        </w:rPr>
      </w:pPr>
      <w:r>
        <w:rPr>
          <w:rFonts w:hint="eastAsia" w:ascii="宋体" w:hAnsi="宋体" w:cs="仿宋"/>
          <w:szCs w:val="21"/>
        </w:rPr>
        <w:t>泛雅平台</w:t>
      </w:r>
      <w:r>
        <w:rPr>
          <w:rFonts w:ascii="宋体" w:hAnsi="宋体" w:cs="仿宋"/>
          <w:szCs w:val="21"/>
        </w:rPr>
        <w:t>教学资源</w:t>
      </w:r>
      <w:r>
        <w:rPr>
          <w:rFonts w:hint="eastAsia" w:ascii="宋体" w:hAnsi="宋体" w:cs="仿宋"/>
          <w:szCs w:val="21"/>
        </w:rPr>
        <w:t xml:space="preserve">                      爱课程平台</w:t>
      </w:r>
      <w:r>
        <w:rPr>
          <w:rFonts w:ascii="宋体" w:hAnsi="宋体" w:cs="仿宋"/>
          <w:szCs w:val="21"/>
        </w:rPr>
        <w:t>教学资源</w:t>
      </w:r>
    </w:p>
    <w:p>
      <w:pPr>
        <w:rPr>
          <w:rFonts w:ascii="宋体" w:hAnsi="宋体" w:cs="仿宋"/>
          <w:szCs w:val="21"/>
        </w:rPr>
      </w:pPr>
      <w:r>
        <w:drawing>
          <wp:inline distT="0" distB="0" distL="0" distR="0">
            <wp:extent cx="4667250" cy="2943225"/>
            <wp:effectExtent l="0" t="0" r="0" b="9525"/>
            <wp:docPr id="1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67250" cy="2943225"/>
                    </a:xfrm>
                    <a:prstGeom prst="rect">
                      <a:avLst/>
                    </a:prstGeom>
                    <a:noFill/>
                    <a:ln>
                      <a:noFill/>
                    </a:ln>
                  </pic:spPr>
                </pic:pic>
              </a:graphicData>
            </a:graphic>
          </wp:inline>
        </w:drawing>
      </w:r>
    </w:p>
    <w:p>
      <w:pPr>
        <w:jc w:val="center"/>
        <w:rPr>
          <w:rFonts w:ascii="宋体" w:hAnsi="宋体" w:cs="仿宋"/>
          <w:b/>
          <w:szCs w:val="21"/>
        </w:rPr>
      </w:pPr>
      <w:r>
        <w:rPr>
          <w:rFonts w:hint="eastAsia" w:ascii="宋体" w:hAnsi="宋体" w:cs="仿宋"/>
          <w:b/>
          <w:szCs w:val="21"/>
        </w:rPr>
        <w:t>智慧职教平台</w:t>
      </w:r>
      <w:r>
        <w:rPr>
          <w:rFonts w:ascii="宋体" w:hAnsi="宋体" w:cs="仿宋"/>
          <w:b/>
          <w:szCs w:val="21"/>
        </w:rPr>
        <w:t>教学资源</w:t>
      </w:r>
    </w:p>
    <w:p>
      <w:pPr>
        <w:rPr>
          <w:rFonts w:ascii="仿宋" w:hAnsi="仿宋" w:eastAsia="仿宋" w:cs="Arial"/>
          <w:b/>
          <w:kern w:val="0"/>
          <w:sz w:val="24"/>
        </w:rPr>
      </w:pPr>
    </w:p>
    <w:p>
      <w:pPr>
        <w:rPr>
          <w:rFonts w:ascii="仿宋" w:hAnsi="仿宋" w:eastAsia="仿宋" w:cs="Arial"/>
          <w:b/>
          <w:kern w:val="0"/>
          <w:sz w:val="24"/>
        </w:rPr>
      </w:pPr>
      <w:r>
        <w:rPr>
          <w:rFonts w:hint="eastAsia" w:ascii="仿宋" w:hAnsi="仿宋" w:eastAsia="仿宋" w:cs="Arial"/>
          <w:b/>
          <w:kern w:val="0"/>
          <w:sz w:val="24"/>
        </w:rPr>
        <w:t>二、培训课程安排</w:t>
      </w:r>
    </w:p>
    <w:p>
      <w:pPr>
        <w:rPr>
          <w:rFonts w:ascii="仿宋" w:hAnsi="仿宋" w:eastAsia="仿宋" w:cs="仿宋"/>
          <w:sz w:val="24"/>
        </w:rPr>
      </w:pPr>
      <w:r>
        <w:rPr>
          <w:rFonts w:hint="eastAsia" w:ascii="仿宋" w:hAnsi="仿宋" w:eastAsia="仿宋" w:cs="仿宋"/>
          <w:sz w:val="24"/>
        </w:rPr>
        <w:t>（1）遵循</w:t>
      </w:r>
      <w:r>
        <w:rPr>
          <w:rFonts w:ascii="仿宋" w:hAnsi="仿宋" w:eastAsia="仿宋" w:cs="仿宋"/>
          <w:sz w:val="24"/>
        </w:rPr>
        <w:t>培训</w:t>
      </w:r>
      <w:r>
        <w:rPr>
          <w:rFonts w:hint="eastAsia" w:ascii="仿宋" w:hAnsi="仿宋" w:eastAsia="仿宋" w:cs="仿宋"/>
          <w:sz w:val="24"/>
        </w:rPr>
        <w:t>计划，“线下培训延期、线上培训不延期”</w:t>
      </w:r>
    </w:p>
    <w:p>
      <w:pPr>
        <w:rPr>
          <w:rFonts w:ascii="仿宋" w:hAnsi="仿宋" w:eastAsia="仿宋" w:cs="仿宋"/>
          <w:sz w:val="24"/>
        </w:rPr>
      </w:pPr>
      <w:r>
        <w:rPr>
          <w:rFonts w:hint="eastAsia" w:ascii="仿宋" w:hAnsi="仿宋" w:eastAsia="仿宋" w:cs="仿宋"/>
          <w:sz w:val="24"/>
        </w:rPr>
        <w:t>原计划</w:t>
      </w:r>
      <w:r>
        <w:rPr>
          <w:rFonts w:ascii="仿宋" w:hAnsi="仿宋" w:eastAsia="仿宋" w:cs="仿宋"/>
          <w:sz w:val="24"/>
        </w:rPr>
        <w:t>安排在暑假期间进行，保证了老师有时间按照计划开展线</w:t>
      </w:r>
      <w:r>
        <w:rPr>
          <w:rFonts w:hint="eastAsia" w:ascii="仿宋" w:hAnsi="仿宋" w:eastAsia="仿宋" w:cs="仿宋"/>
          <w:sz w:val="24"/>
        </w:rPr>
        <w:t>上</w:t>
      </w:r>
      <w:r>
        <w:rPr>
          <w:rFonts w:ascii="仿宋" w:hAnsi="仿宋" w:eastAsia="仿宋" w:cs="仿宋"/>
          <w:sz w:val="24"/>
        </w:rPr>
        <w:t>培训。</w:t>
      </w:r>
    </w:p>
    <w:p>
      <w:pP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培训质量不打折</w:t>
      </w:r>
      <w:r>
        <w:rPr>
          <w:rFonts w:hint="eastAsia" w:ascii="仿宋" w:hAnsi="仿宋" w:eastAsia="仿宋" w:cs="仿宋"/>
          <w:sz w:val="24"/>
        </w:rPr>
        <w:t>，</w:t>
      </w:r>
      <w:r>
        <w:rPr>
          <w:rFonts w:ascii="仿宋" w:hAnsi="仿宋" w:eastAsia="仿宋" w:cs="仿宋"/>
          <w:sz w:val="24"/>
        </w:rPr>
        <w:t>适度增加</w:t>
      </w:r>
      <w:r>
        <w:rPr>
          <w:rFonts w:hint="eastAsia" w:ascii="仿宋" w:hAnsi="仿宋" w:eastAsia="仿宋" w:cs="仿宋"/>
          <w:sz w:val="24"/>
        </w:rPr>
        <w:t>培训</w:t>
      </w:r>
      <w:r>
        <w:rPr>
          <w:rFonts w:ascii="仿宋" w:hAnsi="仿宋" w:eastAsia="仿宋" w:cs="仿宋"/>
          <w:sz w:val="24"/>
        </w:rPr>
        <w:t>内容</w:t>
      </w:r>
      <w:r>
        <w:rPr>
          <w:rFonts w:hint="eastAsia" w:ascii="仿宋" w:hAnsi="仿宋" w:eastAsia="仿宋" w:cs="仿宋"/>
          <w:sz w:val="24"/>
        </w:rPr>
        <w:t>和</w:t>
      </w:r>
      <w:r>
        <w:rPr>
          <w:rFonts w:ascii="仿宋" w:hAnsi="仿宋" w:eastAsia="仿宋" w:cs="仿宋"/>
          <w:sz w:val="24"/>
        </w:rPr>
        <w:t>培训时长</w:t>
      </w:r>
    </w:p>
    <w:p>
      <w:pPr>
        <w:rPr>
          <w:rFonts w:hint="eastAsia" w:ascii="仿宋" w:hAnsi="仿宋" w:eastAsia="仿宋" w:cs="仿宋"/>
          <w:sz w:val="24"/>
          <w:lang w:val="en-US" w:eastAsia="zh-CN"/>
        </w:rPr>
      </w:pPr>
      <w:r>
        <w:rPr>
          <w:rFonts w:ascii="仿宋" w:hAnsi="仿宋" w:eastAsia="仿宋" w:cs="仿宋"/>
          <w:sz w:val="24"/>
        </w:rPr>
        <w:t>线上培训效果和沟通效率会有</w:t>
      </w:r>
      <w:r>
        <w:rPr>
          <w:rFonts w:hint="eastAsia" w:ascii="仿宋" w:hAnsi="仿宋" w:eastAsia="仿宋" w:cs="仿宋"/>
          <w:sz w:val="24"/>
        </w:rPr>
        <w:t>所</w:t>
      </w:r>
      <w:r>
        <w:rPr>
          <w:rFonts w:ascii="仿宋" w:hAnsi="仿宋" w:eastAsia="仿宋" w:cs="仿宋"/>
          <w:sz w:val="24"/>
        </w:rPr>
        <w:t>折扣，</w:t>
      </w:r>
      <w:r>
        <w:rPr>
          <w:rFonts w:hint="eastAsia" w:ascii="仿宋" w:hAnsi="仿宋" w:eastAsia="仿宋" w:cs="仿宋"/>
          <w:sz w:val="24"/>
        </w:rPr>
        <w:t>根据</w:t>
      </w:r>
      <w:r>
        <w:rPr>
          <w:rFonts w:ascii="仿宋" w:hAnsi="仿宋" w:eastAsia="仿宋" w:cs="仿宋"/>
          <w:sz w:val="24"/>
        </w:rPr>
        <w:t>座谈会和在线调查</w:t>
      </w:r>
      <w:r>
        <w:rPr>
          <w:rFonts w:hint="eastAsia" w:ascii="仿宋" w:hAnsi="仿宋" w:eastAsia="仿宋" w:cs="仿宋"/>
          <w:sz w:val="24"/>
        </w:rPr>
        <w:t>，</w:t>
      </w:r>
      <w:r>
        <w:rPr>
          <w:rFonts w:ascii="仿宋" w:hAnsi="仿宋" w:eastAsia="仿宋" w:cs="仿宋"/>
          <w:sz w:val="24"/>
        </w:rPr>
        <w:t>根据学员反馈情况，增加</w:t>
      </w:r>
      <w:r>
        <w:rPr>
          <w:rFonts w:hint="eastAsia" w:ascii="仿宋" w:hAnsi="仿宋" w:eastAsia="仿宋" w:cs="仿宋"/>
          <w:sz w:val="24"/>
        </w:rPr>
        <w:t>在线</w:t>
      </w:r>
      <w:r>
        <w:rPr>
          <w:rFonts w:ascii="仿宋" w:hAnsi="仿宋" w:eastAsia="仿宋" w:cs="仿宋"/>
          <w:sz w:val="24"/>
        </w:rPr>
        <w:t>辅导</w:t>
      </w:r>
      <w:r>
        <w:rPr>
          <w:rFonts w:hint="eastAsia" w:ascii="仿宋" w:hAnsi="仿宋" w:eastAsia="仿宋" w:cs="仿宋"/>
          <w:sz w:val="24"/>
        </w:rPr>
        <w:t>和</w:t>
      </w:r>
      <w:r>
        <w:rPr>
          <w:rFonts w:ascii="仿宋" w:hAnsi="仿宋" w:eastAsia="仿宋" w:cs="仿宋"/>
          <w:sz w:val="24"/>
        </w:rPr>
        <w:t>答疑，保证培训质量不打折。</w:t>
      </w:r>
      <w:r>
        <w:rPr>
          <w:rFonts w:hint="eastAsia" w:ascii="仿宋" w:hAnsi="仿宋" w:eastAsia="仿宋" w:cs="仿宋"/>
          <w:sz w:val="24"/>
          <w:lang w:val="en-US" w:eastAsia="zh-CN"/>
        </w:rPr>
        <w:t xml:space="preserve">  </w:t>
      </w:r>
    </w:p>
    <w:p>
      <w:pPr>
        <w:rPr>
          <w:rFonts w:hint="eastAsia" w:ascii="仿宋" w:hAnsi="仿宋" w:eastAsia="仿宋" w:cs="Arial"/>
          <w:b/>
          <w:kern w:val="0"/>
          <w:sz w:val="24"/>
        </w:rPr>
      </w:pPr>
    </w:p>
    <w:p>
      <w:pPr>
        <w:rPr>
          <w:rFonts w:ascii="仿宋" w:hAnsi="仿宋" w:eastAsia="仿宋" w:cs="Arial"/>
          <w:b/>
          <w:kern w:val="0"/>
          <w:sz w:val="24"/>
        </w:rPr>
      </w:pPr>
      <w:bookmarkStart w:id="1" w:name="_GoBack"/>
      <w:bookmarkEnd w:id="1"/>
      <w:r>
        <w:rPr>
          <w:rFonts w:hint="eastAsia" w:ascii="仿宋" w:hAnsi="仿宋" w:eastAsia="仿宋" w:cs="Arial"/>
          <w:b/>
          <w:kern w:val="0"/>
          <w:sz w:val="24"/>
        </w:rPr>
        <w:t>四、培训方式</w:t>
      </w:r>
    </w:p>
    <w:p>
      <w:pPr>
        <w:rPr>
          <w:rFonts w:ascii="仿宋" w:hAnsi="仿宋" w:eastAsia="仿宋" w:cs="仿宋"/>
          <w:sz w:val="24"/>
        </w:rPr>
      </w:pPr>
      <w:r>
        <w:rPr>
          <w:rFonts w:hint="eastAsia" w:ascii="仿宋" w:hAnsi="仿宋" w:eastAsia="仿宋" w:cs="仿宋"/>
          <w:sz w:val="24"/>
        </w:rPr>
        <w:t>根据</w:t>
      </w:r>
      <w:r>
        <w:rPr>
          <w:rFonts w:ascii="仿宋" w:hAnsi="仿宋" w:eastAsia="仿宋" w:cs="仿宋"/>
          <w:sz w:val="24"/>
        </w:rPr>
        <w:t>疫情发展状况，如果不能完全线下培训，可以采用以下</w:t>
      </w:r>
      <w:r>
        <w:rPr>
          <w:rFonts w:hint="eastAsia" w:ascii="仿宋" w:hAnsi="仿宋" w:eastAsia="仿宋" w:cs="仿宋"/>
          <w:sz w:val="24"/>
        </w:rPr>
        <w:t>2种培训</w:t>
      </w:r>
      <w:r>
        <w:rPr>
          <w:rFonts w:ascii="仿宋" w:hAnsi="仿宋" w:eastAsia="仿宋" w:cs="仿宋"/>
          <w:sz w:val="24"/>
        </w:rPr>
        <w:t>方式</w:t>
      </w:r>
      <w:r>
        <w:rPr>
          <w:rFonts w:hint="eastAsia" w:ascii="仿宋" w:hAnsi="仿宋" w:eastAsia="仿宋" w:cs="仿宋"/>
          <w:sz w:val="24"/>
        </w:rPr>
        <w:t>：</w:t>
      </w:r>
    </w:p>
    <w:p>
      <w:pPr>
        <w:rPr>
          <w:rFonts w:ascii="仿宋" w:hAnsi="仿宋" w:eastAsia="仿宋" w:cs="仿宋"/>
          <w:sz w:val="24"/>
        </w:rPr>
      </w:pPr>
      <w:r>
        <w:rPr>
          <w:rFonts w:hint="eastAsia" w:ascii="仿宋" w:hAnsi="仿宋" w:eastAsia="仿宋" w:cs="仿宋"/>
          <w:sz w:val="24"/>
        </w:rPr>
        <w:t>（1）完全</w:t>
      </w:r>
      <w:r>
        <w:rPr>
          <w:rFonts w:ascii="仿宋" w:hAnsi="仿宋" w:eastAsia="仿宋" w:cs="仿宋"/>
          <w:sz w:val="24"/>
        </w:rPr>
        <w:t>线上培训</w:t>
      </w:r>
      <w:r>
        <w:rPr>
          <w:rFonts w:hint="eastAsia" w:ascii="仿宋" w:hAnsi="仿宋" w:eastAsia="仿宋" w:cs="仿宋"/>
          <w:sz w:val="24"/>
        </w:rPr>
        <w:t>方式</w:t>
      </w:r>
    </w:p>
    <w:p>
      <w:pPr>
        <w:rPr>
          <w:rFonts w:ascii="仿宋" w:hAnsi="仿宋" w:eastAsia="仿宋" w:cs="仿宋"/>
          <w:sz w:val="24"/>
        </w:rPr>
      </w:pPr>
      <w:r>
        <w:rPr>
          <w:rFonts w:hint="eastAsia" w:ascii="仿宋" w:hAnsi="仿宋" w:eastAsia="仿宋" w:cs="仿宋"/>
          <w:sz w:val="24"/>
        </w:rPr>
        <w:t>完全采用</w:t>
      </w:r>
      <w:r>
        <w:rPr>
          <w:rFonts w:ascii="仿宋" w:hAnsi="仿宋" w:eastAsia="仿宋" w:cs="仿宋"/>
          <w:sz w:val="24"/>
        </w:rPr>
        <w:t>线上</w:t>
      </w:r>
      <w:r>
        <w:rPr>
          <w:rFonts w:hint="eastAsia" w:ascii="仿宋" w:hAnsi="仿宋" w:eastAsia="仿宋" w:cs="仿宋"/>
          <w:sz w:val="24"/>
        </w:rPr>
        <w:t>专家</w:t>
      </w:r>
      <w:r>
        <w:rPr>
          <w:rFonts w:ascii="仿宋" w:hAnsi="仿宋" w:eastAsia="仿宋" w:cs="仿宋"/>
          <w:sz w:val="24"/>
        </w:rPr>
        <w:t>讲座、在线操作指导、在线答疑等方式开展培训。</w:t>
      </w:r>
    </w:p>
    <w:p>
      <w:pP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线上</w:t>
      </w:r>
      <w:r>
        <w:rPr>
          <w:rFonts w:hint="eastAsia" w:ascii="仿宋" w:hAnsi="仿宋" w:eastAsia="仿宋" w:cs="仿宋"/>
          <w:sz w:val="24"/>
        </w:rPr>
        <w:t>+线下”</w:t>
      </w:r>
      <w:r>
        <w:rPr>
          <w:rFonts w:ascii="仿宋" w:hAnsi="仿宋" w:eastAsia="仿宋" w:cs="仿宋"/>
          <w:sz w:val="24"/>
        </w:rPr>
        <w:t>结合培训</w:t>
      </w:r>
      <w:r>
        <w:rPr>
          <w:rFonts w:hint="eastAsia" w:ascii="仿宋" w:hAnsi="仿宋" w:eastAsia="仿宋" w:cs="仿宋"/>
          <w:sz w:val="24"/>
        </w:rPr>
        <w:t>方式</w:t>
      </w:r>
    </w:p>
    <w:p>
      <w:pPr>
        <w:rPr>
          <w:rFonts w:ascii="仿宋" w:hAnsi="仿宋" w:eastAsia="仿宋" w:cs="仿宋"/>
          <w:sz w:val="24"/>
        </w:rPr>
      </w:pPr>
      <w:r>
        <w:rPr>
          <w:rFonts w:hint="eastAsia" w:ascii="仿宋" w:hAnsi="仿宋" w:eastAsia="仿宋" w:cs="仿宋"/>
          <w:sz w:val="24"/>
        </w:rPr>
        <w:t>根据</w:t>
      </w:r>
      <w:r>
        <w:rPr>
          <w:rFonts w:ascii="仿宋" w:hAnsi="仿宋" w:eastAsia="仿宋" w:cs="仿宋"/>
          <w:sz w:val="24"/>
        </w:rPr>
        <w:t>疫情发展态势，如果</w:t>
      </w:r>
      <w:r>
        <w:rPr>
          <w:rFonts w:hint="eastAsia" w:ascii="仿宋" w:hAnsi="仿宋" w:eastAsia="仿宋" w:cs="仿宋"/>
          <w:sz w:val="24"/>
        </w:rPr>
        <w:t>江苏</w:t>
      </w:r>
      <w:r>
        <w:rPr>
          <w:rFonts w:ascii="仿宋" w:hAnsi="仿宋" w:eastAsia="仿宋" w:cs="仿宋"/>
          <w:sz w:val="24"/>
        </w:rPr>
        <w:t>地区未列入中高风险地区，可采用部分线下和部分线上结合的方式开展培训。</w:t>
      </w:r>
    </w:p>
    <w:p>
      <w:pPr>
        <w:rPr>
          <w:rFonts w:ascii="仿宋" w:hAnsi="仿宋" w:eastAsia="仿宋" w:cs="仿宋"/>
          <w:sz w:val="24"/>
        </w:rPr>
      </w:pPr>
    </w:p>
    <w:p>
      <w:pPr>
        <w:rPr>
          <w:rFonts w:hint="default" w:ascii="仿宋" w:hAnsi="仿宋" w:eastAsia="仿宋"/>
          <w:sz w:val="24"/>
          <w:lang w:val="en-US" w:eastAsia="zh-CN"/>
        </w:rPr>
      </w:pPr>
    </w:p>
    <w:sectPr>
      <w:footerReference r:id="rId5" w:type="default"/>
      <w:pgSz w:w="11906" w:h="16838"/>
      <w:pgMar w:top="1417" w:right="1797" w:bottom="1417" w:left="1797" w:header="851" w:footer="992" w:gutter="0"/>
      <w:pgNumType w:start="3"/>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幼圆">
    <w:altName w:val="宋体"/>
    <w:panose1 w:val="0201050906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6349690"/>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5E378E"/>
    <w:multiLevelType w:val="singleLevel"/>
    <w:tmpl w:val="565E378E"/>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319"/>
  <w:displayHorizontalDrawingGridEvery w:val="0"/>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5ZmYzZGEwNGIxOGQwZTgxZDBjMWRlYjM1NmQxMzIifQ=="/>
  </w:docVars>
  <w:rsids>
    <w:rsidRoot w:val="00172A27"/>
    <w:rsid w:val="0000264E"/>
    <w:rsid w:val="00004CAE"/>
    <w:rsid w:val="00013922"/>
    <w:rsid w:val="00022230"/>
    <w:rsid w:val="00024EF6"/>
    <w:rsid w:val="000432FE"/>
    <w:rsid w:val="0006295B"/>
    <w:rsid w:val="00087F70"/>
    <w:rsid w:val="000934A6"/>
    <w:rsid w:val="000A2481"/>
    <w:rsid w:val="000B0C6C"/>
    <w:rsid w:val="000C3442"/>
    <w:rsid w:val="000C67B4"/>
    <w:rsid w:val="000D0D4A"/>
    <w:rsid w:val="000E1FFC"/>
    <w:rsid w:val="000F1861"/>
    <w:rsid w:val="000F3546"/>
    <w:rsid w:val="001039DE"/>
    <w:rsid w:val="00103A60"/>
    <w:rsid w:val="00113A45"/>
    <w:rsid w:val="00152EA9"/>
    <w:rsid w:val="00162FD7"/>
    <w:rsid w:val="00170B19"/>
    <w:rsid w:val="00172A27"/>
    <w:rsid w:val="0017468C"/>
    <w:rsid w:val="00183B2F"/>
    <w:rsid w:val="0019637D"/>
    <w:rsid w:val="001A61DB"/>
    <w:rsid w:val="001B3C67"/>
    <w:rsid w:val="001B7ACB"/>
    <w:rsid w:val="001C2147"/>
    <w:rsid w:val="001C6051"/>
    <w:rsid w:val="001E7B4C"/>
    <w:rsid w:val="001F0860"/>
    <w:rsid w:val="001F4209"/>
    <w:rsid w:val="001F4B47"/>
    <w:rsid w:val="00203503"/>
    <w:rsid w:val="0021353E"/>
    <w:rsid w:val="00215354"/>
    <w:rsid w:val="00221301"/>
    <w:rsid w:val="00230E9D"/>
    <w:rsid w:val="0024503F"/>
    <w:rsid w:val="002627AB"/>
    <w:rsid w:val="00266E2B"/>
    <w:rsid w:val="00287025"/>
    <w:rsid w:val="002D05CF"/>
    <w:rsid w:val="002D3769"/>
    <w:rsid w:val="002D68AE"/>
    <w:rsid w:val="002E659F"/>
    <w:rsid w:val="00310DD0"/>
    <w:rsid w:val="00313DC6"/>
    <w:rsid w:val="00313E0F"/>
    <w:rsid w:val="00323EFE"/>
    <w:rsid w:val="003469B7"/>
    <w:rsid w:val="00372D2A"/>
    <w:rsid w:val="00386886"/>
    <w:rsid w:val="003879F2"/>
    <w:rsid w:val="00393011"/>
    <w:rsid w:val="003949AE"/>
    <w:rsid w:val="003A1ED4"/>
    <w:rsid w:val="003A25EB"/>
    <w:rsid w:val="003B4FC2"/>
    <w:rsid w:val="003B73CF"/>
    <w:rsid w:val="003C23F4"/>
    <w:rsid w:val="003C5B00"/>
    <w:rsid w:val="003D44E6"/>
    <w:rsid w:val="003E7E45"/>
    <w:rsid w:val="0042083F"/>
    <w:rsid w:val="004274A4"/>
    <w:rsid w:val="004330AD"/>
    <w:rsid w:val="00440E5B"/>
    <w:rsid w:val="00446FF4"/>
    <w:rsid w:val="00453D8D"/>
    <w:rsid w:val="00462FC9"/>
    <w:rsid w:val="0047424E"/>
    <w:rsid w:val="00483342"/>
    <w:rsid w:val="004A268D"/>
    <w:rsid w:val="004A5BAB"/>
    <w:rsid w:val="004B580B"/>
    <w:rsid w:val="004B5FC4"/>
    <w:rsid w:val="004C3621"/>
    <w:rsid w:val="004D3B29"/>
    <w:rsid w:val="004D48BB"/>
    <w:rsid w:val="004E3A43"/>
    <w:rsid w:val="004F42E2"/>
    <w:rsid w:val="00500B12"/>
    <w:rsid w:val="00504AB5"/>
    <w:rsid w:val="0050552A"/>
    <w:rsid w:val="00513E27"/>
    <w:rsid w:val="00530899"/>
    <w:rsid w:val="005407E7"/>
    <w:rsid w:val="005712AB"/>
    <w:rsid w:val="00592C20"/>
    <w:rsid w:val="005967E6"/>
    <w:rsid w:val="00596F29"/>
    <w:rsid w:val="005A5723"/>
    <w:rsid w:val="005B3B29"/>
    <w:rsid w:val="005C734E"/>
    <w:rsid w:val="005D04D6"/>
    <w:rsid w:val="005E35F6"/>
    <w:rsid w:val="005E6146"/>
    <w:rsid w:val="005F1074"/>
    <w:rsid w:val="006077DA"/>
    <w:rsid w:val="00612030"/>
    <w:rsid w:val="006243D6"/>
    <w:rsid w:val="00630B65"/>
    <w:rsid w:val="0068633E"/>
    <w:rsid w:val="0069326C"/>
    <w:rsid w:val="006C51D3"/>
    <w:rsid w:val="006D063C"/>
    <w:rsid w:val="006E33D5"/>
    <w:rsid w:val="006E46DD"/>
    <w:rsid w:val="006E4FE6"/>
    <w:rsid w:val="006E6FDE"/>
    <w:rsid w:val="00732C21"/>
    <w:rsid w:val="00742078"/>
    <w:rsid w:val="007512AC"/>
    <w:rsid w:val="00752324"/>
    <w:rsid w:val="007635D1"/>
    <w:rsid w:val="00765524"/>
    <w:rsid w:val="00772C9B"/>
    <w:rsid w:val="007749AD"/>
    <w:rsid w:val="00774FE3"/>
    <w:rsid w:val="007A1A3B"/>
    <w:rsid w:val="007B4B2A"/>
    <w:rsid w:val="007C2781"/>
    <w:rsid w:val="007C6F24"/>
    <w:rsid w:val="007D504F"/>
    <w:rsid w:val="007E5B93"/>
    <w:rsid w:val="007F2948"/>
    <w:rsid w:val="00802670"/>
    <w:rsid w:val="00806EE9"/>
    <w:rsid w:val="00807A10"/>
    <w:rsid w:val="008100E1"/>
    <w:rsid w:val="00816237"/>
    <w:rsid w:val="008410D5"/>
    <w:rsid w:val="008468CD"/>
    <w:rsid w:val="0084737C"/>
    <w:rsid w:val="00856F11"/>
    <w:rsid w:val="008660D4"/>
    <w:rsid w:val="0086783C"/>
    <w:rsid w:val="00884EE0"/>
    <w:rsid w:val="00886D4B"/>
    <w:rsid w:val="00893E9C"/>
    <w:rsid w:val="00895F6D"/>
    <w:rsid w:val="008A1413"/>
    <w:rsid w:val="008B24A0"/>
    <w:rsid w:val="008C1B85"/>
    <w:rsid w:val="008D243F"/>
    <w:rsid w:val="008F2A62"/>
    <w:rsid w:val="00901E01"/>
    <w:rsid w:val="00910959"/>
    <w:rsid w:val="009171F0"/>
    <w:rsid w:val="00920191"/>
    <w:rsid w:val="00932C92"/>
    <w:rsid w:val="00950CC6"/>
    <w:rsid w:val="00951106"/>
    <w:rsid w:val="00951CA1"/>
    <w:rsid w:val="00954C78"/>
    <w:rsid w:val="0095630E"/>
    <w:rsid w:val="00990298"/>
    <w:rsid w:val="00991FD9"/>
    <w:rsid w:val="009963BF"/>
    <w:rsid w:val="00997D79"/>
    <w:rsid w:val="009A0729"/>
    <w:rsid w:val="009D72A5"/>
    <w:rsid w:val="009E18F2"/>
    <w:rsid w:val="009E2F7D"/>
    <w:rsid w:val="009F2C70"/>
    <w:rsid w:val="00A04A69"/>
    <w:rsid w:val="00A24D2A"/>
    <w:rsid w:val="00A32B9F"/>
    <w:rsid w:val="00A408AD"/>
    <w:rsid w:val="00A434D2"/>
    <w:rsid w:val="00A43F48"/>
    <w:rsid w:val="00A50AAD"/>
    <w:rsid w:val="00A54306"/>
    <w:rsid w:val="00A62211"/>
    <w:rsid w:val="00A63C87"/>
    <w:rsid w:val="00A716E2"/>
    <w:rsid w:val="00A833E1"/>
    <w:rsid w:val="00A85F2D"/>
    <w:rsid w:val="00A91E31"/>
    <w:rsid w:val="00A93F80"/>
    <w:rsid w:val="00AC0995"/>
    <w:rsid w:val="00AC1B4D"/>
    <w:rsid w:val="00AD0363"/>
    <w:rsid w:val="00AE515F"/>
    <w:rsid w:val="00AF43D4"/>
    <w:rsid w:val="00AF79D4"/>
    <w:rsid w:val="00B1121E"/>
    <w:rsid w:val="00B11E62"/>
    <w:rsid w:val="00B179BE"/>
    <w:rsid w:val="00B22B84"/>
    <w:rsid w:val="00B23D53"/>
    <w:rsid w:val="00B321FA"/>
    <w:rsid w:val="00B432E9"/>
    <w:rsid w:val="00B44508"/>
    <w:rsid w:val="00B9144A"/>
    <w:rsid w:val="00BB1A99"/>
    <w:rsid w:val="00BC1923"/>
    <w:rsid w:val="00BD1784"/>
    <w:rsid w:val="00BE29E5"/>
    <w:rsid w:val="00C14C3B"/>
    <w:rsid w:val="00C1786B"/>
    <w:rsid w:val="00C41088"/>
    <w:rsid w:val="00C465FC"/>
    <w:rsid w:val="00C46A01"/>
    <w:rsid w:val="00C5024D"/>
    <w:rsid w:val="00C50E79"/>
    <w:rsid w:val="00C63A1B"/>
    <w:rsid w:val="00C73FE3"/>
    <w:rsid w:val="00C8043C"/>
    <w:rsid w:val="00C838F0"/>
    <w:rsid w:val="00C86F65"/>
    <w:rsid w:val="00CD1DCB"/>
    <w:rsid w:val="00CD2369"/>
    <w:rsid w:val="00CE7A45"/>
    <w:rsid w:val="00CF0786"/>
    <w:rsid w:val="00D156E8"/>
    <w:rsid w:val="00D16354"/>
    <w:rsid w:val="00D255CA"/>
    <w:rsid w:val="00D258E3"/>
    <w:rsid w:val="00D325F6"/>
    <w:rsid w:val="00D4335E"/>
    <w:rsid w:val="00D462DE"/>
    <w:rsid w:val="00D61C5B"/>
    <w:rsid w:val="00D63639"/>
    <w:rsid w:val="00D83DFB"/>
    <w:rsid w:val="00D861E1"/>
    <w:rsid w:val="00DA19D7"/>
    <w:rsid w:val="00DA307C"/>
    <w:rsid w:val="00DA574A"/>
    <w:rsid w:val="00DD0199"/>
    <w:rsid w:val="00DD733F"/>
    <w:rsid w:val="00DE1D2C"/>
    <w:rsid w:val="00DE649F"/>
    <w:rsid w:val="00E008F9"/>
    <w:rsid w:val="00E01D0F"/>
    <w:rsid w:val="00E104FE"/>
    <w:rsid w:val="00E26C8A"/>
    <w:rsid w:val="00E42739"/>
    <w:rsid w:val="00E433E6"/>
    <w:rsid w:val="00E66224"/>
    <w:rsid w:val="00E8042C"/>
    <w:rsid w:val="00E815B9"/>
    <w:rsid w:val="00E84E0C"/>
    <w:rsid w:val="00E85A58"/>
    <w:rsid w:val="00E96774"/>
    <w:rsid w:val="00EA367D"/>
    <w:rsid w:val="00EB5B67"/>
    <w:rsid w:val="00EC53DF"/>
    <w:rsid w:val="00EC58E8"/>
    <w:rsid w:val="00EE3C2E"/>
    <w:rsid w:val="00EE7C39"/>
    <w:rsid w:val="00F037EA"/>
    <w:rsid w:val="00F16495"/>
    <w:rsid w:val="00F228D2"/>
    <w:rsid w:val="00F33287"/>
    <w:rsid w:val="00F52299"/>
    <w:rsid w:val="00F753D3"/>
    <w:rsid w:val="00F84CC5"/>
    <w:rsid w:val="00F9017C"/>
    <w:rsid w:val="00F90F68"/>
    <w:rsid w:val="00F94015"/>
    <w:rsid w:val="00FA0EE8"/>
    <w:rsid w:val="00FA74FB"/>
    <w:rsid w:val="00FC4BD9"/>
    <w:rsid w:val="00FC7E9C"/>
    <w:rsid w:val="00FD3C42"/>
    <w:rsid w:val="00FE5245"/>
    <w:rsid w:val="00FE71FA"/>
    <w:rsid w:val="00FF5FC2"/>
    <w:rsid w:val="0B161164"/>
    <w:rsid w:val="11C71412"/>
    <w:rsid w:val="141911E4"/>
    <w:rsid w:val="17527B50"/>
    <w:rsid w:val="19CD1BF8"/>
    <w:rsid w:val="1D54432D"/>
    <w:rsid w:val="230B02C5"/>
    <w:rsid w:val="29BA0485"/>
    <w:rsid w:val="41BB7D66"/>
    <w:rsid w:val="48624CD1"/>
    <w:rsid w:val="4CCB1C5E"/>
    <w:rsid w:val="5189736B"/>
    <w:rsid w:val="5B0453E0"/>
    <w:rsid w:val="691E52D4"/>
    <w:rsid w:val="6C392417"/>
    <w:rsid w:val="6CB85FDA"/>
    <w:rsid w:val="6DC646D7"/>
    <w:rsid w:val="6E5B2485"/>
    <w:rsid w:val="6EF51F98"/>
    <w:rsid w:val="71960F70"/>
    <w:rsid w:val="755422A1"/>
    <w:rsid w:val="7B7D40A6"/>
    <w:rsid w:val="7C385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0"/>
    <w:pPr>
      <w:keepNext/>
      <w:keepLines/>
      <w:spacing w:before="260" w:after="260" w:line="416" w:lineRule="auto"/>
      <w:outlineLvl w:val="1"/>
    </w:pPr>
    <w:rPr>
      <w:rFonts w:ascii="Cambria" w:hAnsi="Cambria"/>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5">
    <w:name w:val="Date"/>
    <w:basedOn w:val="1"/>
    <w:next w:val="1"/>
    <w:qFormat/>
    <w:uiPriority w:val="0"/>
    <w:pPr>
      <w:ind w:left="100" w:leftChars="2500"/>
    </w:pPr>
  </w:style>
  <w:style w:type="paragraph" w:styleId="6">
    <w:name w:val="Balloon Text"/>
    <w:basedOn w:val="1"/>
    <w:link w:val="18"/>
    <w:unhideWhenUsed/>
    <w:qFormat/>
    <w:uiPriority w:val="99"/>
    <w:rPr>
      <w:sz w:val="18"/>
      <w:szCs w:val="18"/>
      <w:lang w:val="zh-CN" w:eastAsia="zh-CN"/>
    </w:rPr>
  </w:style>
  <w:style w:type="paragraph" w:styleId="7">
    <w:name w:val="footer"/>
    <w:basedOn w:val="1"/>
    <w:link w:val="20"/>
    <w:qFormat/>
    <w:uiPriority w:val="99"/>
    <w:pPr>
      <w:tabs>
        <w:tab w:val="center" w:pos="4153"/>
        <w:tab w:val="right" w:pos="8306"/>
      </w:tabs>
      <w:snapToGrid w:val="0"/>
      <w:jc w:val="left"/>
    </w:pPr>
    <w:rPr>
      <w:sz w:val="18"/>
      <w:szCs w:val="18"/>
    </w:rPr>
  </w:style>
  <w:style w:type="paragraph" w:styleId="8">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302"/>
      </w:tabs>
    </w:pPr>
    <w:rPr>
      <w:rFonts w:ascii="仿宋_GB2312" w:eastAsia="仿宋_GB2312"/>
      <w:sz w:val="30"/>
      <w:szCs w:val="30"/>
    </w:rPr>
  </w:style>
  <w:style w:type="paragraph" w:styleId="10">
    <w:name w:val="Subtitle"/>
    <w:basedOn w:val="1"/>
    <w:next w:val="1"/>
    <w:link w:val="25"/>
    <w:qFormat/>
    <w:uiPriority w:val="11"/>
    <w:pPr>
      <w:widowControl/>
      <w:spacing w:after="160" w:line="259" w:lineRule="auto"/>
      <w:jc w:val="left"/>
    </w:pPr>
    <w:rPr>
      <w:rFonts w:ascii="等线" w:hAnsi="等线" w:eastAsia="等线"/>
      <w:color w:val="5A5A5A"/>
      <w:spacing w:val="15"/>
      <w:kern w:val="0"/>
      <w:sz w:val="22"/>
      <w:szCs w:val="22"/>
    </w:rPr>
  </w:style>
  <w:style w:type="paragraph" w:styleId="11">
    <w:name w:val="toc 2"/>
    <w:basedOn w:val="1"/>
    <w:next w:val="1"/>
    <w:unhideWhenUsed/>
    <w:qFormat/>
    <w:uiPriority w:val="39"/>
    <w:pPr>
      <w:widowControl/>
      <w:spacing w:after="100" w:line="259" w:lineRule="auto"/>
      <w:ind w:left="220"/>
      <w:jc w:val="left"/>
    </w:pPr>
    <w:rPr>
      <w:rFonts w:ascii="等线" w:hAnsi="等线" w:eastAsia="等线"/>
      <w:kern w:val="0"/>
      <w:sz w:val="22"/>
      <w:szCs w:val="22"/>
    </w:rPr>
  </w:style>
  <w:style w:type="paragraph" w:styleId="12">
    <w:name w:val="Normal (Web)"/>
    <w:basedOn w:val="1"/>
    <w:qFormat/>
    <w:uiPriority w:val="99"/>
    <w:pPr>
      <w:widowControl/>
      <w:spacing w:before="100" w:beforeAutospacing="1" w:after="100" w:afterAutospacing="1" w:line="360" w:lineRule="auto"/>
      <w:ind w:firstLine="480"/>
      <w:jc w:val="left"/>
    </w:pPr>
    <w:rPr>
      <w:rFonts w:ascii="宋体" w:hAnsi="宋体" w:cs="宋体"/>
      <w:sz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customStyle="1" w:styleId="18">
    <w:name w:val="批注框文本 字符"/>
    <w:link w:val="6"/>
    <w:semiHidden/>
    <w:qFormat/>
    <w:uiPriority w:val="99"/>
    <w:rPr>
      <w:kern w:val="2"/>
      <w:sz w:val="18"/>
      <w:szCs w:val="18"/>
    </w:rPr>
  </w:style>
  <w:style w:type="character" w:customStyle="1" w:styleId="19">
    <w:name w:val="页眉 字符"/>
    <w:link w:val="8"/>
    <w:qFormat/>
    <w:uiPriority w:val="99"/>
    <w:rPr>
      <w:rFonts w:eastAsia="宋体"/>
      <w:kern w:val="2"/>
      <w:sz w:val="18"/>
      <w:szCs w:val="18"/>
      <w:lang w:val="en-US" w:eastAsia="zh-CN" w:bidi="ar-SA"/>
    </w:rPr>
  </w:style>
  <w:style w:type="character" w:customStyle="1" w:styleId="20">
    <w:name w:val="页脚 字符1"/>
    <w:link w:val="7"/>
    <w:qFormat/>
    <w:uiPriority w:val="99"/>
    <w:rPr>
      <w:rFonts w:eastAsia="宋体"/>
      <w:kern w:val="2"/>
      <w:sz w:val="18"/>
      <w:szCs w:val="18"/>
      <w:lang w:val="en-US" w:eastAsia="zh-CN" w:bidi="ar-SA"/>
    </w:rPr>
  </w:style>
  <w:style w:type="character" w:customStyle="1" w:styleId="21">
    <w:name w:val="标题 2 字符"/>
    <w:link w:val="3"/>
    <w:qFormat/>
    <w:uiPriority w:val="0"/>
    <w:rPr>
      <w:rFonts w:ascii="Cambria" w:hAnsi="Cambria"/>
      <w:b/>
      <w:bCs/>
      <w:kern w:val="2"/>
      <w:sz w:val="32"/>
      <w:szCs w:val="32"/>
    </w:rPr>
  </w:style>
  <w:style w:type="paragraph" w:customStyle="1" w:styleId="22">
    <w:name w:val="Table Paragraph"/>
    <w:basedOn w:val="1"/>
    <w:qFormat/>
    <w:uiPriority w:val="1"/>
    <w:pPr>
      <w:autoSpaceDE w:val="0"/>
      <w:autoSpaceDN w:val="0"/>
      <w:adjustRightInd w:val="0"/>
      <w:jc w:val="left"/>
    </w:pPr>
    <w:rPr>
      <w:rFonts w:ascii="宋体" w:cs="宋体"/>
      <w:kern w:val="0"/>
      <w:sz w:val="24"/>
    </w:rPr>
  </w:style>
  <w:style w:type="paragraph" w:styleId="23">
    <w:name w:val="No Spacing"/>
    <w:link w:val="24"/>
    <w:qFormat/>
    <w:uiPriority w:val="1"/>
    <w:rPr>
      <w:rFonts w:ascii="Calibri" w:hAnsi="Calibri" w:eastAsia="宋体" w:cs="Times New Roman"/>
      <w:sz w:val="22"/>
      <w:szCs w:val="22"/>
      <w:lang w:val="en-US" w:eastAsia="zh-CN" w:bidi="ar-SA"/>
    </w:rPr>
  </w:style>
  <w:style w:type="character" w:customStyle="1" w:styleId="24">
    <w:name w:val="无间隔 字符"/>
    <w:link w:val="23"/>
    <w:qFormat/>
    <w:uiPriority w:val="1"/>
    <w:rPr>
      <w:rFonts w:ascii="Calibri" w:hAnsi="Calibri"/>
      <w:sz w:val="22"/>
      <w:szCs w:val="22"/>
      <w:lang w:val="en-US" w:eastAsia="zh-CN" w:bidi="ar-SA"/>
    </w:rPr>
  </w:style>
  <w:style w:type="character" w:customStyle="1" w:styleId="25">
    <w:name w:val="副标题 字符"/>
    <w:link w:val="10"/>
    <w:qFormat/>
    <w:uiPriority w:val="11"/>
    <w:rPr>
      <w:rFonts w:ascii="等线" w:hAnsi="等线" w:eastAsia="等线"/>
      <w:color w:val="5A5A5A"/>
      <w:spacing w:val="15"/>
      <w:sz w:val="22"/>
      <w:szCs w:val="22"/>
    </w:rPr>
  </w:style>
  <w:style w:type="character" w:customStyle="1" w:styleId="26">
    <w:name w:val="仿宋正文 Char"/>
    <w:link w:val="27"/>
    <w:qFormat/>
    <w:uiPriority w:val="0"/>
    <w:rPr>
      <w:rFonts w:ascii="仿宋" w:hAnsi="仿宋" w:eastAsia="仿宋_GB2312"/>
      <w:kern w:val="2"/>
      <w:sz w:val="28"/>
      <w:szCs w:val="28"/>
    </w:rPr>
  </w:style>
  <w:style w:type="paragraph" w:customStyle="1" w:styleId="27">
    <w:name w:val="仿宋正文"/>
    <w:basedOn w:val="1"/>
    <w:link w:val="26"/>
    <w:qFormat/>
    <w:uiPriority w:val="0"/>
    <w:pPr>
      <w:ind w:firstLine="560" w:firstLineChars="200"/>
    </w:pPr>
    <w:rPr>
      <w:rFonts w:ascii="仿宋" w:hAnsi="仿宋" w:eastAsia="仿宋_GB2312"/>
      <w:sz w:val="28"/>
      <w:szCs w:val="28"/>
    </w:rPr>
  </w:style>
  <w:style w:type="paragraph" w:customStyle="1" w:styleId="28">
    <w:name w:val="列出段落1"/>
    <w:basedOn w:val="1"/>
    <w:qFormat/>
    <w:uiPriority w:val="0"/>
    <w:pPr>
      <w:ind w:firstLine="420" w:firstLineChars="200"/>
    </w:pPr>
  </w:style>
  <w:style w:type="character" w:customStyle="1" w:styleId="29">
    <w:name w:val="页脚 字符"/>
    <w:qFormat/>
    <w:uiPriority w:val="99"/>
  </w:style>
  <w:style w:type="character" w:customStyle="1" w:styleId="30">
    <w:name w:val="标题 1 字符"/>
    <w:basedOn w:val="15"/>
    <w:link w:val="2"/>
    <w:qFormat/>
    <w:uiPriority w:val="9"/>
    <w:rPr>
      <w:b/>
      <w:bCs/>
      <w:kern w:val="44"/>
      <w:sz w:val="44"/>
      <w:szCs w:val="44"/>
    </w:rPr>
  </w:style>
  <w:style w:type="paragraph" w:customStyle="1" w:styleId="31">
    <w:name w:val="TOC Heading"/>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32">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78F987-E1E4-4845-8174-942EA9D1164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4304</Words>
  <Characters>5590</Characters>
  <Lines>91</Lines>
  <Paragraphs>25</Paragraphs>
  <TotalTime>2</TotalTime>
  <ScaleCrop>false</ScaleCrop>
  <LinksUpToDate>false</LinksUpToDate>
  <CharactersWithSpaces>5684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2022-05-08T05:29:00Z</dcterms:created>
  <dc:creator>微软用户</dc:creator>
  <cp:lastModifiedBy> 漪の脩へ</cp:lastModifiedBy>
  <cp:lastPrinted>2018-06-13T06:05:00Z</cp:lastPrinted>
  <dcterms:modified xsi:type="dcterms:W3CDTF">2022-05-30T07:50:31Z</dcterms:modified>
  <dc:title>关于做好江苏省高职院校教师素质提高计划2012年度国家级培训项目申报工作的通知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470B696992694F29802FEDC5E08D2A0F</vt:lpwstr>
  </property>
</Properties>
</file>